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Brisbane</w:t>
      </w:r>
      <w:r>
        <w:t xml:space="preserve"> </w:t>
      </w:r>
      <w:r>
        <w:t xml:space="preserve">Architectural</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2ccab554ab3dc7cb0a2e7812d87b04a29dee588"/>
    <w:p>
      <w:pPr>
        <w:pStyle w:val="Heading1"/>
      </w:pPr>
      <w:r>
        <w:t xml:space="preserve">Q3 2024 Brisbane Architectural Services Sales Report: Driving Innovation in Australia's Urban Landscape</w:t>
      </w:r>
    </w:p>
    <w:p>
      <w:pPr>
        <w:pStyle w:val="FirstParagraph"/>
      </w:pPr>
      <w:r>
        <w:rPr>
          <w:bCs/>
          <w:b/>
        </w:rPr>
        <w:t xml:space="preserve">Prepared For:</w:t>
      </w:r>
      <w:r>
        <w:t xml:space="preserve"> </w:t>
      </w:r>
      <w:r>
        <w:t xml:space="preserve">Executive Leadership Team, Australian Architecture Association (Queensland Chapter)</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Location Focus:</w:t>
      </w:r>
      <w:r>
        <w:t xml:space="preserve"> </w:t>
      </w:r>
      <w:r>
        <w:t xml:space="preserve">Australia Brisbane Metropolitan Region</w:t>
      </w:r>
    </w:p>
    <w:bookmarkStart w:id="20" w:name="i.-executive-summary"/>
    <w:p>
      <w:pPr>
        <w:pStyle w:val="Heading2"/>
      </w:pPr>
      <w:r>
        <w:t xml:space="preserve">I. Executive Summary</w:t>
      </w:r>
    </w:p>
    <w:p>
      <w:pPr>
        <w:pStyle w:val="FirstParagraph"/>
      </w:pPr>
      <w:r>
        <w:t xml:space="preserve">This comprehensive Sales Report details the performance of architectural services within the Brisbane market during Q3 2024. As a leading architectural practice operating across Australia Brisbane, we have achieved a remarkable 18% year-over-year growth in service contracts, securing $4.7M in new business commitments. This success underscores the critical role our Architect team plays in shaping Queensland's urban evolution while navigating the unique challenges and opportunities of the Australian market. The report demonstrates how strategic focus on Brisbane's infrastructure boom, sustainability mandates, and community-centric design has directly driven sales outcomes.</w:t>
      </w:r>
    </w:p>
    <w:bookmarkEnd w:id="20"/>
    <w:bookmarkStart w:id="21" w:name="X93358e05959c95256bdb18d47b84a56b6316335"/>
    <w:p>
      <w:pPr>
        <w:pStyle w:val="Heading2"/>
      </w:pPr>
      <w:r>
        <w:t xml:space="preserve">II. Market Context: Australia Brisbane Construction Surge</w:t>
      </w:r>
    </w:p>
    <w:p>
      <w:pPr>
        <w:pStyle w:val="FirstParagraph"/>
      </w:pPr>
      <w:r>
        <w:t xml:space="preserve">Brisbane's construction sector continues to outpace national averages, with Queensland Treasury data confirming a 12.3% YoY increase in building approvals during Q3. This momentum is fueled by the Queensland Government's $50B infrastructure pipeline, including the</w:t>
      </w:r>
      <w:r>
        <w:t xml:space="preserve"> </w:t>
      </w:r>
      <w:r>
        <w:rPr>
          <w:iCs/>
          <w:i/>
        </w:rPr>
        <w:t xml:space="preserve">Queens Wharf Redevelopment</w:t>
      </w:r>
      <w:r>
        <w:t xml:space="preserve">,</w:t>
      </w:r>
      <w:r>
        <w:t xml:space="preserve"> </w:t>
      </w:r>
      <w:r>
        <w:rPr>
          <w:iCs/>
          <w:i/>
        </w:rPr>
        <w:t xml:space="preserve">Brisbane Metro Rail Project</w:t>
      </w:r>
      <w:r>
        <w:t xml:space="preserve">, and</w:t>
      </w:r>
      <w:r>
        <w:t xml:space="preserve"> </w:t>
      </w:r>
      <w:r>
        <w:rPr>
          <w:iCs/>
          <w:i/>
        </w:rPr>
        <w:t xml:space="preserve">Newstead Urban Renewal Zones</w:t>
      </w:r>
      <w:r>
        <w:t xml:space="preserve">. As an Architect firm deeply embedded in Australia Brisbane, we have capitalized on this surge by positioning ourselves as specialists in adaptive reuse and climate-responsive design—aligning perfectly with Brisbane City Council's 2041 Climate Strategy. Our sales strategy explicitly targets the intersection of regulatory compliance (National Construction Code, NCC 2022) and community value, a differentiator in today's competitive Australian market.</w:t>
      </w:r>
    </w:p>
    <w:bookmarkEnd w:id="21"/>
    <w:bookmarkStart w:id="22" w:name="iii.-sales-performance-highlights"/>
    <w:p>
      <w:pPr>
        <w:pStyle w:val="Heading2"/>
      </w:pPr>
      <w:r>
        <w:t xml:space="preserve">III. Sales Performance Highlights</w:t>
      </w:r>
    </w:p>
    <w:p>
      <w:pPr>
        <w:pStyle w:val="FirstParagraph"/>
      </w:pPr>
      <w:r>
        <w:t xml:space="preserve">The following table summarizes key Q3 2024 sales metrics for our Brisbane architectural practice:</w:t>
      </w:r>
    </w:p>
    <w:p>
      <w:pPr>
        <w:pStyle w:val="BodyText"/>
      </w:pPr>
      <w:r>
        <w:t xml:space="preserve">Project Type</w:t>
      </w:r>
    </w:p>
    <w:p>
      <w:pPr>
        <w:pStyle w:val="BodyText"/>
      </w:pPr>
      <w:r>
        <w:t xml:space="preserve">Contract Value (AUD)</w:t>
      </w:r>
    </w:p>
    <w:p>
      <w:pPr>
        <w:pStyle w:val="BodyText"/>
      </w:pPr>
      <w:r>
        <w:t xml:space="preserve">New Clients Acquired</w:t>
      </w:r>
    </w:p>
    <w:p>
      <w:pPr>
        <w:pStyle w:val="BodyText"/>
      </w:pPr>
      <w:r>
        <w:t xml:space="preserve">Key Brisbane Location</w:t>
      </w:r>
    </w:p>
    <w:p>
      <w:pPr>
        <w:pStyle w:val="BodyText"/>
      </w:pPr>
      <w:r>
        <w:t xml:space="preserve">Mixed-Use Residential Development</w:t>
      </w:r>
    </w:p>
    <w:p>
      <w:pPr>
        <w:pStyle w:val="BodyText"/>
      </w:pPr>
      <w:r>
        <w:t xml:space="preserve">$1,250,000</w:t>
      </w:r>
    </w:p>
    <w:p>
      <w:pPr>
        <w:pStyle w:val="BodyText"/>
      </w:pPr>
      <w:r>
        <w:t xml:space="preserve">3</w:t>
      </w:r>
    </w:p>
    <w:p>
      <w:pPr>
        <w:pStyle w:val="BodyText"/>
      </w:pPr>
      <w:r>
        <w:t xml:space="preserve">South Bank (Newtown Precinct)</w:t>
      </w:r>
    </w:p>
    <w:p>
      <w:pPr>
        <w:pStyle w:val="BodyText"/>
      </w:pPr>
      <w:r>
        <w:t xml:space="preserve">Commercial Sustainability Retrofit</w:t>
      </w:r>
    </w:p>
    <w:p>
      <w:pPr>
        <w:pStyle w:val="BodyText"/>
      </w:pPr>
      <w:r>
        <w:t xml:space="preserve">$985,000</w:t>
      </w:r>
    </w:p>
    <w:p>
      <w:pPr>
        <w:pStyle w:val="BodyText"/>
      </w:pPr>
      <w:r>
        <w:rPr>
          <w:bCs/>
          <w:b/>
        </w:rPr>
        <w:t xml:space="preserve"> </w:t>
      </w:r>
    </w:p>
    <w:p>
      <w:pPr>
        <w:pStyle w:val="BodyText"/>
      </w:pPr>
      <w:r>
        <w:t xml:space="preserve">New Clients Acquired</w:t>
      </w:r>
    </w:p>
    <w:p>
      <w:pPr>
        <w:pStyle w:val="BodyText"/>
      </w:pPr>
      <w:r>
        <w:t xml:space="preserve">Key Brisbane Location</w:t>
      </w:r>
    </w:p>
    <w:bookmarkEnd w:id="22"/>
    <w:bookmarkStart w:id="23" w:name="X5fdf7137680535941d40cf606bd4301db0c8495"/>
    <w:p>
      <w:pPr>
        <w:pStyle w:val="Heading2"/>
      </w:pPr>
      <w:r>
        <w:t xml:space="preserve">IV. Strategic Sales Initiatives Driving Growth in Australia Brisbane</w:t>
      </w:r>
    </w:p>
    <w:p>
      <w:pPr>
        <w:pStyle w:val="FirstParagraph"/>
      </w:pPr>
      <w:r>
        <w:rPr>
          <w:bCs/>
          <w:b/>
        </w:rPr>
        <w:t xml:space="preserve">1. Hyper-Local Market Intelligence:</w:t>
      </w:r>
      <w:r>
        <w:t xml:space="preserve"> </w:t>
      </w:r>
      <w:r>
        <w:t xml:space="preserve">Our Architect team developed specialized Brisbane market maps tracking zoning changes, council approval timelines, and emerging precincts (e.g., Kangaroo Point Railyard). This enabled targeted outreach to developers planning for the 2035 Brisbane 2041 Urban Masterplan. Sales conversions increased by 27% when leveraging this hyper-local data.</w:t>
      </w:r>
    </w:p>
    <w:p>
      <w:pPr>
        <w:pStyle w:val="BodyText"/>
      </w:pPr>
      <w:r>
        <w:rPr>
          <w:bCs/>
          <w:b/>
        </w:rPr>
        <w:t xml:space="preserve">2. Sustainability as a Sales Catalyst:</w:t>
      </w:r>
      <w:r>
        <w:t xml:space="preserve"> </w:t>
      </w:r>
      <w:r>
        <w:t xml:space="preserve">With Queensland's Renewable Energy Target (RET) requiring 80% renewable energy by 2035, we positioned our Architect expertise in Passive House design and Net Zero Carbon strategies. This initiative generated 45% of Q3 sales, including the $985K commercial retrofit at Brisbane City Hall—a project directly tied to Council's climate goals.</w:t>
      </w:r>
    </w:p>
    <w:p>
      <w:pPr>
        <w:pStyle w:val="BodyText"/>
      </w:pPr>
      <w:r>
        <w:rPr>
          <w:bCs/>
          <w:b/>
        </w:rPr>
        <w:t xml:space="preserve">3. Community Engagement Integration:</w:t>
      </w:r>
      <w:r>
        <w:t xml:space="preserve"> </w:t>
      </w:r>
      <w:r>
        <w:t xml:space="preserve">Recognizing that successful Brisbane projects require community buy-in, we developed a "Design Co-Creation" service for our Architect team. This sales differentiator secured the $1.25M South Bank project through early community workshops, addressing residents' concerns about heritage preservation and public space access—a key factor in Brisbane's approval process.</w:t>
      </w:r>
    </w:p>
    <w:bookmarkEnd w:id="23"/>
    <w:bookmarkStart w:id="24" w:name="X78b3c404ce8360ab9ebd1fd4b8a6e257e51167a"/>
    <w:p>
      <w:pPr>
        <w:pStyle w:val="Heading2"/>
      </w:pPr>
      <w:r>
        <w:t xml:space="preserve">V. Challenges Faced &amp; Solutions Implemented</w:t>
      </w:r>
    </w:p>
    <w:p>
      <w:pPr>
        <w:pStyle w:val="FirstParagraph"/>
      </w:pPr>
      <w:r>
        <w:t xml:space="preserve">Brisbane's complex regulatory environment presented challenges, including the Queensland Building and Construction Commission (QBCC) compliance requirements for high-rises. Our Architect sales team responded by:</w:t>
      </w:r>
    </w:p>
    <w:p>
      <w:pPr>
        <w:numPr>
          <w:ilvl w:val="0"/>
          <w:numId w:val="1001"/>
        </w:numPr>
        <w:pStyle w:val="Compact"/>
      </w:pPr>
      <w:r>
        <w:t xml:space="preserve">Developing a specialized compliance checklist tailored to Brisbane City Council's 2024 amendments</w:t>
      </w:r>
    </w:p>
    <w:p>
      <w:pPr>
        <w:numPr>
          <w:ilvl w:val="0"/>
          <w:numId w:val="1001"/>
        </w:numPr>
        <w:pStyle w:val="Compact"/>
      </w:pPr>
      <w:r>
        <w:t xml:space="preserve">Training all sales personnel on NCC 2025 transition timelines</w:t>
      </w:r>
    </w:p>
    <w:p>
      <w:pPr>
        <w:numPr>
          <w:ilvl w:val="0"/>
          <w:numId w:val="1001"/>
        </w:numPr>
        <w:pStyle w:val="Compact"/>
      </w:pPr>
      <w:r>
        <w:t xml:space="preserve">Partnering with local engineering firms (e.g., AECOM Brisbane) for bundled service offerings</w:t>
      </w:r>
    </w:p>
    <w:p>
      <w:pPr>
        <w:pStyle w:val="FirstParagraph"/>
      </w:pPr>
      <w:r>
        <w:t xml:space="preserve">This proactive approach reduced client onboarding time by 35% and prevented $870,000 in potential lost opportunities due to compliance delays.</w:t>
      </w:r>
    </w:p>
    <w:bookmarkEnd w:id="24"/>
    <w:bookmarkStart w:id="25" w:name="Xff2bd95dc5c05bc447a0392824818ffd628213e"/>
    <w:p>
      <w:pPr>
        <w:pStyle w:val="Heading2"/>
      </w:pPr>
      <w:r>
        <w:t xml:space="preserve">VI. Australia Brisbane Market Analysis: Key Takeaways for Architects</w:t>
      </w:r>
    </w:p>
    <w:p>
      <w:pPr>
        <w:pStyle w:val="FirstParagraph"/>
      </w:pPr>
      <w:r>
        <w:t xml:space="preserve">Our Q3 Sales Report identifies three critical trends shaping architectural services in Australia Brisbane:</w:t>
      </w:r>
    </w:p>
    <w:p>
      <w:pPr>
        <w:numPr>
          <w:ilvl w:val="0"/>
          <w:numId w:val="1002"/>
        </w:numPr>
        <w:pStyle w:val="Compact"/>
      </w:pPr>
      <w:r>
        <w:rPr>
          <w:bCs/>
          <w:b/>
        </w:rPr>
        <w:t xml:space="preserve">Heritage Integration Demand:</w:t>
      </w:r>
      <w:r>
        <w:t xml:space="preserve"> </w:t>
      </w:r>
      <w:r>
        <w:t xml:space="preserve">68% of new commercial inquiries require heritage-sensitive design (e.g., refurbishing former post offices in Fortitude Valley). Our Architect team's historical building expertise drove a 32% increase in such projects.</w:t>
      </w:r>
    </w:p>
    <w:p>
      <w:pPr>
        <w:numPr>
          <w:ilvl w:val="0"/>
          <w:numId w:val="1002"/>
        </w:numPr>
        <w:pStyle w:val="Compact"/>
      </w:pPr>
      <w:r>
        <w:rPr>
          <w:bCs/>
          <w:b/>
        </w:rPr>
        <w:t xml:space="preserve">Rural-Suburban Migration Impact:</w:t>
      </w:r>
      <w:r>
        <w:t xml:space="preserve"> </w:t>
      </w:r>
      <w:r>
        <w:t xml:space="preserve">Brisbane's population growth (+1.8% YoY) is shifting focus to suburban infrastructure, creating demand for mid-density housing solutions we've successfully pitched to developers like Lendlease (Brisbane South project).</w:t>
      </w:r>
    </w:p>
    <w:p>
      <w:pPr>
        <w:numPr>
          <w:ilvl w:val="0"/>
          <w:numId w:val="1002"/>
        </w:numPr>
        <w:pStyle w:val="Compact"/>
      </w:pPr>
      <w:r>
        <w:rPr>
          <w:bCs/>
          <w:b/>
        </w:rPr>
        <w:t xml:space="preserve">Government Partnership Shift:</w:t>
      </w:r>
      <w:r>
        <w:t xml:space="preserve"> </w:t>
      </w:r>
      <w:r>
        <w:t xml:space="preserve">State and local government funding for public architecture has increased by 22%, with projects like the new</w:t>
      </w:r>
      <w:r>
        <w:t xml:space="preserve"> </w:t>
      </w:r>
      <w:r>
        <w:rPr>
          <w:iCs/>
          <w:i/>
        </w:rPr>
        <w:t xml:space="preserve">Brisbane Children's Hospital</w:t>
      </w:r>
      <w:r>
        <w:t xml:space="preserve"> </w:t>
      </w:r>
      <w:r>
        <w:t xml:space="preserve">requiring Architect firms with Queensland-specific procurement experience.</w:t>
      </w:r>
    </w:p>
    <w:bookmarkEnd w:id="25"/>
    <w:bookmarkStart w:id="26" w:name="X5daee247465b58a46a9682d9dc5916e471797fb"/>
    <w:p>
      <w:pPr>
        <w:pStyle w:val="Heading2"/>
      </w:pPr>
      <w:r>
        <w:t xml:space="preserve">VII. Future Sales Strategy: Positioning for Brisbane's Next Decade</w:t>
      </w:r>
    </w:p>
    <w:p>
      <w:pPr>
        <w:pStyle w:val="FirstParagraph"/>
      </w:pPr>
      <w:r>
        <w:t xml:space="preserve">Based on Q3 insights, we are refining our sales approach for Australia Brisbane to:</w:t>
      </w:r>
    </w:p>
    <w:p>
      <w:pPr>
        <w:numPr>
          <w:ilvl w:val="0"/>
          <w:numId w:val="1003"/>
        </w:numPr>
        <w:pStyle w:val="Compact"/>
      </w:pPr>
      <w:r>
        <w:t xml:space="preserve">Expand the Architect team's digital twin capabilities (addressing 70% of client requests during Q3) for real-time design collaboration with Brisbane-based developers.</w:t>
      </w:r>
    </w:p>
    <w:p>
      <w:pPr>
        <w:numPr>
          <w:ilvl w:val="0"/>
          <w:numId w:val="1003"/>
        </w:numPr>
        <w:pStyle w:val="Compact"/>
      </w:pPr>
      <w:r>
        <w:t xml:space="preserve">Launch a "Brisbane Climate Resilience" service package targeting insurance-driven retrofits after recent cyclone events.</w:t>
      </w:r>
    </w:p>
    <w:p>
      <w:pPr>
        <w:numPr>
          <w:ilvl w:val="0"/>
          <w:numId w:val="1003"/>
        </w:numPr>
        <w:pStyle w:val="Compact"/>
      </w:pPr>
      <w:r>
        <w:t xml:space="preserve">Forge partnerships with Queensland University of Technology (QUT) architects for student project showcases, enhancing our credibility in the local Architect ecosystem.</w:t>
      </w:r>
    </w:p>
    <w:bookmarkEnd w:id="26"/>
    <w:bookmarkStart w:id="27" w:name="X6408b85b1fa07666bf903fa66fe0f4e76bb2f79"/>
    <w:p>
      <w:pPr>
        <w:pStyle w:val="Heading2"/>
      </w:pPr>
      <w:r>
        <w:t xml:space="preserve">VIII. Conclusion: The Architect as Strategic Sales Partner</w:t>
      </w:r>
    </w:p>
    <w:p>
      <w:pPr>
        <w:pStyle w:val="FirstParagraph"/>
      </w:pPr>
      <w:r>
        <w:t xml:space="preserve">This Sales Report confirms that in Australia Brisbane's dynamic construction market, architectural expertise has evolved from a service to a strategic sales driver. Our ability to merge deep Brisbane market knowledge with national Australian building standards has positioned us uniquely. As the Queensland Government targets 350,000 new homes by 2031, our Architect team's focus on community value and regulatory navigation ensures sustainable growth.</w:t>
      </w:r>
    </w:p>
    <w:p>
      <w:pPr>
        <w:pStyle w:val="BodyText"/>
      </w:pPr>
      <w:r>
        <w:t xml:space="preserve">We project Q4 2024 sales to exceed $6.1M based on current pipeline (78% booked), with Brisbane accounting for 92% of new contracts—a testament to our market specialization. The success achieved through this Sales Report underscores that in Australia, the modern Architect isn't just designing spaces; they're architecting sales opportunities through innovation and place-based expertise.</w:t>
      </w:r>
    </w:p>
    <w:p>
      <w:pPr>
        <w:pStyle w:val="BodyText"/>
      </w:pPr>
      <w:r>
        <w:rPr>
          <w:bCs/>
          <w:b/>
        </w:rPr>
        <w:t xml:space="preserve">Prepared By:</w:t>
      </w:r>
      <w:r>
        <w:t xml:space="preserve"> </w:t>
      </w:r>
      <w:r>
        <w:t xml:space="preserve">Sarah Chen, Director of Business Development</w:t>
      </w:r>
      <w:r>
        <w:br/>
      </w:r>
      <w:r>
        <w:rPr>
          <w:bCs/>
          <w:b/>
        </w:rPr>
        <w:t xml:space="preserve">Firm:</w:t>
      </w:r>
      <w:r>
        <w:t xml:space="preserve"> </w:t>
      </w:r>
      <w:r>
        <w:t xml:space="preserve">Aether Architects | Brisbane |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Architectural Sales Report - Q3 2024</dc:title>
  <dc:creator/>
  <dc:language>en</dc:language>
  <cp:keywords/>
  <dcterms:created xsi:type="dcterms:W3CDTF">2025-12-13T01:33:32Z</dcterms:created>
  <dcterms:modified xsi:type="dcterms:W3CDTF">2025-12-13T01:33:32Z</dcterms:modified>
</cp:coreProperties>
</file>

<file path=docProps/custom.xml><?xml version="1.0" encoding="utf-8"?>
<Properties xmlns="http://schemas.openxmlformats.org/officeDocument/2006/custom-properties" xmlns:vt="http://schemas.openxmlformats.org/officeDocument/2006/docPropsVTypes"/>
</file>