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Sales</w:t>
      </w:r>
      <w:r>
        <w:t xml:space="preserve"> </w:t>
      </w:r>
      <w:r>
        <w:t xml:space="preserve">Performance</w:t>
      </w:r>
      <w:r>
        <w:t xml:space="preserve"> </w:t>
      </w:r>
      <w:r>
        <w:t xml:space="preserve">Report:</w:t>
      </w:r>
      <w:r>
        <w:t xml:space="preserve"> </w:t>
      </w:r>
      <w:r>
        <w:t xml:space="preserve">Melbourne,</w:t>
      </w:r>
      <w:r>
        <w:t xml:space="preserve"> </w:t>
      </w:r>
      <w:r>
        <w:t xml:space="preserve">Australia</w:t>
      </w:r>
    </w:p>
    <w:bookmarkStart w:id="29" w:name="X764265959d19e28f54ecba1bfd88e9b67c73947"/>
    <w:p>
      <w:pPr>
        <w:pStyle w:val="Heading1"/>
      </w:pPr>
      <w:r>
        <w:t xml:space="preserve">Annual Sales Report: Architectural Excellence in Australia Melbourne Market</w:t>
      </w:r>
    </w:p>
    <w:p>
      <w:pPr>
        <w:pStyle w:val="FirstParagraph"/>
      </w:pPr>
      <w:r>
        <w:rPr>
          <w:bCs/>
          <w:b/>
        </w:rPr>
        <w:t xml:space="preserve">Prepared For:</w:t>
      </w:r>
      <w:r>
        <w:t xml:space="preserve"> </w:t>
      </w:r>
      <w:r>
        <w:t xml:space="preserve">Executive Leadership &amp; Stakeholders</w:t>
      </w:r>
    </w:p>
    <w:p>
      <w:pPr>
        <w:pStyle w:val="BodyText"/>
      </w:pPr>
      <w:r>
        <w:rPr>
          <w:bCs/>
          <w:b/>
        </w:rPr>
        <w:t xml:space="preserve">Date:</w:t>
      </w:r>
      <w:r>
        <w:t xml:space="preserve"> </w:t>
      </w:r>
      <w:r>
        <w:t xml:space="preserve">26 October 2023</w:t>
      </w:r>
    </w:p>
    <w:p>
      <w:pPr>
        <w:pStyle w:val="BodyText"/>
      </w:pPr>
      <w:r>
        <w:rPr>
          <w:bCs/>
          <w:b/>
        </w:rPr>
        <w:t xml:space="preserve">Firm:</w:t>
      </w:r>
      <w:r>
        <w:t xml:space="preserve"> </w:t>
      </w:r>
      <w:r>
        <w:t xml:space="preserve">Melbourne Architecture Collective (MAC)</w:t>
      </w:r>
    </w:p>
    <w:p>
      <w:pPr>
        <w:pStyle w:val="BodyText"/>
      </w:pPr>
      <w:r>
        <w:rPr>
          <w:bCs/>
          <w:b/>
        </w:rPr>
        <w:t xml:space="preserve">Reporting Period:</w:t>
      </w:r>
      <w:r>
        <w:t xml:space="preserve"> </w:t>
      </w:r>
      <w:r>
        <w:t xml:space="preserve">January 1, 2023 – September 30, 2023</w:t>
      </w:r>
    </w:p>
    <w:bookmarkStart w:id="20" w:name="X82da8456d37cc5c9a368875543d18c00169d5e9"/>
    <w:p>
      <w:pPr>
        <w:pStyle w:val="Heading2"/>
      </w:pPr>
      <w:r>
        <w:t xml:space="preserve">Introduction: Architectural Sales Performance in Melbourne</w:t>
      </w:r>
    </w:p>
    <w:p>
      <w:pPr>
        <w:pStyle w:val="FirstParagraph"/>
      </w:pPr>
      <w:r>
        <w:t xml:space="preserve">This comprehensive sales report details the performance of Melbourne Architecture Collective (MAC) across the Australian architectural market during the first nine months of 2023. As a leading architectural practice with deep roots in Australia Melbourne, MAC has consistently delivered innovative design solutions that align with the city's evolving urban landscape and sustainability demands. This document provides an objective analysis of our sales trajectory, client acquisition strategies, and market positioning within Victoria's competitive architectural sector.</w:t>
      </w:r>
    </w:p>
    <w:p>
      <w:pPr>
        <w:pStyle w:val="BodyText"/>
      </w:pPr>
      <w:r>
        <w:t xml:space="preserve">With Melbourne recognized as Australia's design capital and a hub for sustainable urban development, our firm has strategically focused on high-value commercial, residential, and civic projects that reflect both local cultural identity and global best practices. The following report demonstrates how our architectural expertise has directly translated into measurable sales growth across key market segments.</w:t>
      </w:r>
    </w:p>
    <w:bookmarkEnd w:id="20"/>
    <w:bookmarkStart w:id="21" w:name="key-sales-performance-metrics"/>
    <w:p>
      <w:pPr>
        <w:pStyle w:val="Heading2"/>
      </w:pPr>
      <w:r>
        <w:t xml:space="preserve">Key Sales Performance Metrics</w:t>
      </w:r>
    </w:p>
    <w:p>
      <w:pPr>
        <w:pStyle w:val="FirstParagraph"/>
      </w:pPr>
      <w:r>
        <w:t xml:space="preserve">147</w:t>
      </w:r>
    </w:p>
    <w:p>
      <w:pPr>
        <w:pStyle w:val="BodyText"/>
      </w:pPr>
      <w:r>
        <w:t xml:space="preserve">Completed Projects</w:t>
      </w:r>
    </w:p>
    <w:p>
      <w:pPr>
        <w:pStyle w:val="BodyText"/>
      </w:pPr>
      <w:r>
        <w:t xml:space="preserve">$82.6M</w:t>
      </w:r>
    </w:p>
    <w:p>
      <w:pPr>
        <w:pStyle w:val="BodyText"/>
      </w:pPr>
      <w:r>
        <w:t xml:space="preserve">Total Project Value</w:t>
      </w:r>
    </w:p>
    <w:p>
      <w:pPr>
        <w:pStyle w:val="BodyText"/>
      </w:pPr>
      <w:r>
        <w:t xml:space="preserve">18%</w:t>
      </w:r>
    </w:p>
    <w:p>
      <w:pPr>
        <w:pStyle w:val="BodyText"/>
      </w:pPr>
      <w:r>
        <w:t xml:space="preserve">YTD Revenue Growth</w:t>
      </w:r>
    </w:p>
    <w:p>
      <w:pPr>
        <w:pStyle w:val="BodyText"/>
      </w:pPr>
      <w:r>
        <w:t xml:space="preserve">72%</w:t>
      </w:r>
    </w:p>
    <w:p>
      <w:pPr>
        <w:pStyle w:val="BodyText"/>
      </w:pPr>
      <w:r>
        <w:t xml:space="preserve">Repeat Client Rate</w:t>
      </w:r>
    </w:p>
    <w:p>
      <w:pPr>
        <w:pStyle w:val="BodyText"/>
      </w:pPr>
      <w:r>
        <w:t xml:space="preserve">Our sales strategy has prioritized building long-term relationships with developers, government bodies, and private clients across Melbourne's key growth corridors including Docklands, Southbank, and the inner-city suburbs. The 18% revenue increase over the previous year demonstrates strong market acceptance of our architectural approach in Australia Melbourne's premium development landscape. Notably, our repeat client rate of 72% underscores the value proposition delivered through exceptional design integration and project execution.</w:t>
      </w:r>
    </w:p>
    <w:bookmarkEnd w:id="21"/>
    <w:bookmarkStart w:id="22" w:name="Xc230f70b2395e006f728869acf81c24807c2b1c"/>
    <w:p>
      <w:pPr>
        <w:pStyle w:val="Heading2"/>
      </w:pPr>
      <w:r>
        <w:t xml:space="preserve">Market Analysis: Architectural Demand in Melbourne</w:t>
      </w:r>
    </w:p>
    <w:p>
      <w:pPr>
        <w:pStyle w:val="FirstParagraph"/>
      </w:pPr>
      <w:r>
        <w:t xml:space="preserve">The Victorian architecture market has experienced significant transformation since 2019, with Melbourne maintaining its position as Australia's most dynamic city for architectural innovation. According to the Australian Institute of Architects' 2023 Victoria Market Report, residential development alone contributed $58 billion to regional GDP in the past financial year – a figure that directly correlates with increased demand for sophisticated architectural services.</w:t>
      </w:r>
    </w:p>
    <w:p>
      <w:pPr>
        <w:pStyle w:val="BodyText"/>
      </w:pPr>
      <w:r>
        <w:t xml:space="preserve">Our sales intelligence identifies three dominant trends shaping Melbourne's architectural landscape:</w:t>
      </w:r>
    </w:p>
    <w:p>
      <w:pPr>
        <w:numPr>
          <w:ilvl w:val="0"/>
          <w:numId w:val="1001"/>
        </w:numPr>
        <w:pStyle w:val="Compact"/>
      </w:pPr>
      <w:r>
        <w:rPr>
          <w:bCs/>
          <w:b/>
        </w:rPr>
        <w:t xml:space="preserve">Sustainable Urban Development:</w:t>
      </w:r>
      <w:r>
        <w:t xml:space="preserve"> </w:t>
      </w:r>
      <w:r>
        <w:t xml:space="preserve">87% of new commercial projects now require NABERS 5-star ratings or equivalent, driving demand for architects with specialized green building expertise</w:t>
      </w:r>
    </w:p>
    <w:p>
      <w:pPr>
        <w:numPr>
          <w:ilvl w:val="0"/>
          <w:numId w:val="1001"/>
        </w:numPr>
        <w:pStyle w:val="Compact"/>
      </w:pPr>
      <w:r>
        <w:rPr>
          <w:bCs/>
          <w:b/>
        </w:rPr>
        <w:t xml:space="preserve">Heritage Integration:</w:t>
      </w:r>
      <w:r>
        <w:t xml:space="preserve"> </w:t>
      </w:r>
      <w:r>
        <w:t xml:space="preserve">Melbourne's unique architectural fabric has created a $12.3B market for adaptive reuse projects requiring sensitive architectural interventions</w:t>
      </w:r>
    </w:p>
    <w:p>
      <w:pPr>
        <w:numPr>
          <w:ilvl w:val="0"/>
          <w:numId w:val="1001"/>
        </w:numPr>
        <w:pStyle w:val="Compact"/>
      </w:pPr>
      <w:r>
        <w:rPr>
          <w:bCs/>
          <w:b/>
        </w:rPr>
        <w:t xml:space="preserve">Density Solutions:</w:t>
      </w:r>
      <w:r>
        <w:t xml:space="preserve"> </w:t>
      </w:r>
      <w:r>
        <w:t xml:space="preserve">The Victorian Government's "Metropolitan Planning Strategy" mandates 50% higher density in designated growth areas, creating urgent need for architects skilled in high-rise and mixed-use design</w:t>
      </w:r>
    </w:p>
    <w:bookmarkEnd w:id="22"/>
    <w:bookmarkStart w:id="25" w:name="Xcf5a5c00078ebcf72c4142535e1c377a449c8cc"/>
    <w:p>
      <w:pPr>
        <w:pStyle w:val="Heading2"/>
      </w:pPr>
      <w:r>
        <w:t xml:space="preserve">Client Success Stories: Architectural Sales Impact</w:t>
      </w:r>
    </w:p>
    <w:bookmarkStart w:id="23" w:name="X73c3cedb3b8c4e2a6ee7a06353061c85fbbef3d"/>
    <w:p>
      <w:pPr>
        <w:pStyle w:val="Heading3"/>
      </w:pPr>
      <w:r>
        <w:t xml:space="preserve">Case Study: The Yarra Edge Residences (Commercial Project)</w:t>
      </w:r>
    </w:p>
    <w:p>
      <w:pPr>
        <w:pStyle w:val="FirstParagraph"/>
      </w:pPr>
      <w:r>
        <w:t xml:space="preserve">Secured through a competitive pitch against three international firms, this $18.7M luxury residential tower in Southbank represents MAC's architectural sales breakthrough in Melbourne's premium market. Our design solution incorporated native species into vertical gardens and passive cooling systems – features that directly addressed the client's sustainability goals while exceeding building code requirements by 22%. This project has since generated three additional referral contracts from the same development group.</w:t>
      </w:r>
    </w:p>
    <w:bookmarkEnd w:id="23"/>
    <w:bookmarkStart w:id="24" w:name="X2d22a64129a64d6cd8bd818524b1a8e94a9f3f8"/>
    <w:p>
      <w:pPr>
        <w:pStyle w:val="Heading3"/>
      </w:pPr>
      <w:r>
        <w:t xml:space="preserve">Case Study: Brunswick Community Arts Hub (Public Project)</w:t>
      </w:r>
    </w:p>
    <w:p>
      <w:pPr>
        <w:pStyle w:val="FirstParagraph"/>
      </w:pPr>
      <w:r>
        <w:t xml:space="preserve">This $4.2M civic architecture project, commissioned by the City of Melbourne, exemplifies our firm's ability to deliver public value through strategic architectural planning. The design transformed a derelict warehouse into Melbourne's most accessed community arts facility since 2015. Crucially, our sales approach emphasized measurable community impact metrics – including projected 30% increase in local artist participation – which were pivotal in securing the government contract.</w:t>
      </w:r>
    </w:p>
    <w:bookmarkEnd w:id="24"/>
    <w:bookmarkEnd w:id="25"/>
    <w:bookmarkStart w:id="26" w:name="challenges-and-strategic-response"/>
    <w:p>
      <w:pPr>
        <w:pStyle w:val="Heading2"/>
      </w:pPr>
      <w:r>
        <w:t xml:space="preserve">Challenges and Strategic Response</w:t>
      </w:r>
    </w:p>
    <w:p>
      <w:pPr>
        <w:pStyle w:val="FirstParagraph"/>
      </w:pPr>
      <w:r>
        <w:t xml:space="preserve">Despite strong performance, our sales team identified two critical challenges in Australia Melbourne's architectural market:</w:t>
      </w:r>
    </w:p>
    <w:p>
      <w:pPr>
        <w:numPr>
          <w:ilvl w:val="0"/>
          <w:numId w:val="1002"/>
        </w:numPr>
        <w:pStyle w:val="Compact"/>
      </w:pPr>
      <w:r>
        <w:rPr>
          <w:bCs/>
          <w:b/>
        </w:rPr>
        <w:t xml:space="preserve">Supply Chain Disruptions:</w:t>
      </w:r>
      <w:r>
        <w:t xml:space="preserve"> </w:t>
      </w:r>
      <w:r>
        <w:t xml:space="preserve">43% of projects experienced material delays, requiring architects to develop contingency design solutions during client negotiations</w:t>
      </w:r>
    </w:p>
    <w:p>
      <w:pPr>
        <w:numPr>
          <w:ilvl w:val="0"/>
          <w:numId w:val="1002"/>
        </w:numPr>
        <w:pStyle w:val="Compact"/>
      </w:pPr>
      <w:r>
        <w:rPr>
          <w:bCs/>
          <w:b/>
        </w:rPr>
        <w:t xml:space="preserve">Competitive Pressure:</w:t>
      </w:r>
      <w:r>
        <w:t xml:space="preserve"> </w:t>
      </w:r>
      <w:r>
        <w:t xml:space="preserve">International firms have intensified bidding in Melbourne's commercial market, particularly for projects exceeding $10M</w:t>
      </w:r>
    </w:p>
    <w:p>
      <w:pPr>
        <w:pStyle w:val="FirstParagraph"/>
      </w:pPr>
      <w:r>
        <w:t xml:space="preserve">In response, MAC implemented a proprietary "Design Resilience Framework" that now forms part of all sales proposals. This framework includes detailed risk mitigation plans for material sourcing and project delivery – a feature that has increased our win rate on complex projects by 31%.</w:t>
      </w:r>
    </w:p>
    <w:bookmarkEnd w:id="26"/>
    <w:bookmarkStart w:id="27" w:name="X9292844b99d5ab5506d298f0601108007450b2d"/>
    <w:p>
      <w:pPr>
        <w:pStyle w:val="Heading2"/>
      </w:pPr>
      <w:r>
        <w:t xml:space="preserve">Future Sales Strategy: Architectural Growth in Melbourne</w:t>
      </w:r>
    </w:p>
    <w:p>
      <w:pPr>
        <w:pStyle w:val="FirstParagraph"/>
      </w:pPr>
      <w:r>
        <w:t xml:space="preserve">Looking ahead, MAC's sales roadmap focuses on three priority areas aligned with Australia Melbourne's development trajectory:</w:t>
      </w:r>
    </w:p>
    <w:p>
      <w:pPr>
        <w:numPr>
          <w:ilvl w:val="0"/>
          <w:numId w:val="1003"/>
        </w:numPr>
        <w:pStyle w:val="Compact"/>
      </w:pPr>
      <w:r>
        <w:rPr>
          <w:bCs/>
          <w:b/>
        </w:rPr>
        <w:t xml:space="preserve">Green Building Certification Specialization:</w:t>
      </w:r>
      <w:r>
        <w:t xml:space="preserve"> </w:t>
      </w:r>
      <w:r>
        <w:t xml:space="preserve">Targeting 100% of new projects to achieve 5-star NABERS ratings by Q3 2024 through dedicated sustainability architects</w:t>
      </w:r>
    </w:p>
    <w:p>
      <w:pPr>
        <w:numPr>
          <w:ilvl w:val="0"/>
          <w:numId w:val="1003"/>
        </w:numPr>
        <w:pStyle w:val="Compact"/>
      </w:pPr>
      <w:r>
        <w:rPr>
          <w:bCs/>
          <w:b/>
        </w:rPr>
        <w:t xml:space="preserve">Heritage Architecture Division:</w:t>
      </w:r>
      <w:r>
        <w:t xml:space="preserve"> </w:t>
      </w:r>
      <w:r>
        <w:t xml:space="preserve">Creating a specialized team to capture $7.8B in projected heritage renewal projects across Melbourne's 1,200+ protected buildings</w:t>
      </w:r>
    </w:p>
    <w:p>
      <w:pPr>
        <w:numPr>
          <w:ilvl w:val="0"/>
          <w:numId w:val="1003"/>
        </w:numPr>
        <w:pStyle w:val="Compact"/>
      </w:pPr>
      <w:r>
        <w:rPr>
          <w:bCs/>
          <w:b/>
        </w:rPr>
        <w:t xml:space="preserve">Digital Sales Enablement:</w:t>
      </w:r>
      <w:r>
        <w:t xml:space="preserve"> </w:t>
      </w:r>
      <w:r>
        <w:t xml:space="preserve">Implementing virtual reality design presentations that have reduced client decision cycles by 45% in the past quarter</w:t>
      </w:r>
    </w:p>
    <w:bookmarkEnd w:id="27"/>
    <w:bookmarkStart w:id="28" w:name="X7a1779fbd8b171170f852f772fe5f54137b8a3b"/>
    <w:p>
      <w:pPr>
        <w:pStyle w:val="Heading2"/>
      </w:pPr>
      <w:r>
        <w:t xml:space="preserve">Conclusion: Architectural Excellence as a Sales Driver</w:t>
      </w:r>
    </w:p>
    <w:p>
      <w:pPr>
        <w:pStyle w:val="FirstParagraph"/>
      </w:pPr>
      <w:r>
        <w:t xml:space="preserve">The evidence is clear: in Australia Melbourne's sophisticated architectural market, our sales success directly stems from embedding design excellence into every client interaction. This Sales Report confirms that MAC's approach – where architecture isn't merely a service but the primary sales proposition – has positioned us as a preferred partner for Melbourne's most ambitious projects.</w:t>
      </w:r>
    </w:p>
    <w:p>
      <w:pPr>
        <w:pStyle w:val="BodyText"/>
      </w:pPr>
      <w:r>
        <w:t xml:space="preserve">As Victoria transitions to its 2050 Net Zero strategy, our architectural services will remain central to implementing sustainable urban environments. With projected $18.4B in new construction underway across Melbourne by 2025 (Victorian Planning Authority), MAC is uniquely positioned to deliver exceptional design outcomes that drive both client success and community value.</w:t>
      </w:r>
    </w:p>
    <w:p>
      <w:pPr>
        <w:pStyle w:val="BodyText"/>
      </w:pPr>
      <w:r>
        <w:t xml:space="preserve">Our commitment to maintaining Melbourne's architectural legacy while pioneering sustainable innovation has not only strengthened our sales pipeline but also cemented our reputation as the architect of choice for Australia's most forward-thinking clients. The path forward requires continued investment in design innovation – a strategy that will continue to generate compelling sales narratives and measurable market leadership in the years ahead.</w:t>
      </w:r>
    </w:p>
    <w:p>
      <w:pPr>
        <w:pStyle w:val="BodyText"/>
      </w:pPr>
      <w:r>
        <w:t xml:space="preserve">Prepared with deep understanding of Melbourne's architectural landscape by Melbourne Architecture Collective</w:t>
      </w:r>
    </w:p>
    <w:p>
      <w:pPr>
        <w:pStyle w:val="BodyText"/>
      </w:pPr>
      <w:r>
        <w:t xml:space="preserve">Building Futures Through Architectural Excellence – Australia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Performance Report: Melbourne, Australia</dc:title>
  <dc:creator/>
  <dc:language>en</dc:language>
  <cp:keywords/>
  <dcterms:created xsi:type="dcterms:W3CDTF">2026-07-20T08:06:16Z</dcterms:created>
  <dcterms:modified xsi:type="dcterms:W3CDTF">2026-07-20T08:06:16Z</dcterms:modified>
</cp:coreProperties>
</file>

<file path=docProps/custom.xml><?xml version="1.0" encoding="utf-8"?>
<Properties xmlns="http://schemas.openxmlformats.org/officeDocument/2006/custom-properties" xmlns:vt="http://schemas.openxmlformats.org/officeDocument/2006/docPropsVTypes"/>
</file>