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9" w:name="X8d493442d6cb6dba97cf23313998fb70c695716"/>
    <w:p>
      <w:pPr>
        <w:pStyle w:val="Heading1"/>
      </w:pPr>
      <w:r>
        <w:t xml:space="preserve">Quarterly Sales Report: Architectural Services Performance in Australia Sydney</w:t>
      </w:r>
    </w:p>
    <w:bookmarkStart w:id="20" w:name="X6c055184f1f651c6a726972c3067ceddab65aa7"/>
    <w:p>
      <w:pPr>
        <w:pStyle w:val="Heading2"/>
      </w:pPr>
      <w:r>
        <w:t xml:space="preserve">Prepared for Executive Leadership | Q3 2023 | Sydney, Australia</w:t>
      </w:r>
    </w:p>
    <w:p>
      <w:pPr>
        <w:pStyle w:val="FirstParagraph"/>
      </w:pPr>
      <w:r>
        <w:t xml:space="preserve">This comprehensive Sales Report details the performance of architectural services across the vibrant Sydney market, highlighting strategic achievements, market dynamics, and forward-looking initiatives essential for sustained growth in Australia's premier architectural hub. As an industry leader operating within the unique constraints and opportunities of Australia Sydney, our firm has demonstrated exceptional resilience and innovation in delivering high-value design solutions.</w:t>
      </w:r>
    </w:p>
    <w:bookmarkEnd w:id="20"/>
    <w:bookmarkStart w:id="21" w:name="Xe20e140411bbfc905f9c9635c47ad556a0e7223"/>
    <w:p>
      <w:pPr>
        <w:pStyle w:val="Heading2"/>
      </w:pPr>
      <w:r>
        <w:t xml:space="preserve">Market Context: Sydney's Architectural Landscape</w:t>
      </w:r>
    </w:p>
    <w:p>
      <w:pPr>
        <w:pStyle w:val="FirstParagraph"/>
      </w:pPr>
      <w:r>
        <w:t xml:space="preserve">Sydney continues to dominate Australia's architectural market as a global design capital. With over 18 million square meters of new construction underway across the greater metropolitan area, the demand for innovative architectural services has reached unprecedented levels. Our sales data confirms that Sydney-based clients now represent 74% of our total revenue pipeline, reflecting both market concentration and our strategic focus on this critical Australian city. The NSW Government's $130 billion infrastructure investment plan directly fuels this momentum, creating fertile ground for premium architectural engagements.</w:t>
      </w:r>
    </w:p>
    <w:bookmarkEnd w:id="21"/>
    <w:bookmarkStart w:id="22" w:name="q3-2023-sales-performance-highlights"/>
    <w:p>
      <w:pPr>
        <w:pStyle w:val="Heading2"/>
      </w:pPr>
      <w:r>
        <w:t xml:space="preserve">Q3 2023 Sales Performance Highlights</w:t>
      </w:r>
    </w:p>
    <w:p>
      <w:pPr>
        <w:pStyle w:val="FirstParagraph"/>
      </w:pPr>
      <w:r>
        <w:t xml:space="preserve">Our sales performance in Australia Sydney has exceeded targets by 18% compared to Q2. Total revenue reached $4.7 million AUD, driven by three major project wins and strategic expansion into sustainable design services. Notable achievements include:</w:t>
      </w:r>
    </w:p>
    <w:p>
      <w:pPr>
        <w:numPr>
          <w:ilvl w:val="0"/>
          <w:numId w:val="1001"/>
        </w:numPr>
        <w:pStyle w:val="Compact"/>
      </w:pPr>
      <w:r>
        <w:rPr>
          <w:bCs/>
          <w:b/>
        </w:rPr>
        <w:t xml:space="preserve">Record Contract Value:</w:t>
      </w:r>
      <w:r>
        <w:t xml:space="preserve"> </w:t>
      </w:r>
      <w:r>
        <w:t xml:space="preserve">Secured $1.9M contract for the Sydney Harbour Cultural Precinct masterplan – the largest single architectural engagement in our 15-year Sydney operation</w:t>
      </w:r>
    </w:p>
    <w:p>
      <w:pPr>
        <w:numPr>
          <w:ilvl w:val="0"/>
          <w:numId w:val="1001"/>
        </w:numPr>
        <w:pStyle w:val="Compact"/>
      </w:pPr>
      <w:r>
        <w:rPr>
          <w:bCs/>
          <w:b/>
        </w:rPr>
        <w:t xml:space="preserve">Client Retention Rate:</w:t>
      </w:r>
      <w:r>
        <w:t xml:space="preserve"> </w:t>
      </w:r>
      <w:r>
        <w:t xml:space="preserve">89% (vs. industry average of 76%) among established Sydney commercial clients, demonstrating exceptional service quality</w:t>
      </w:r>
    </w:p>
    <w:p>
      <w:pPr>
        <w:numPr>
          <w:ilvl w:val="0"/>
          <w:numId w:val="1001"/>
        </w:numPr>
        <w:pStyle w:val="Compact"/>
      </w:pPr>
      <w:r>
        <w:rPr>
          <w:bCs/>
          <w:b/>
        </w:rPr>
        <w:t xml:space="preserve">New Market Penetration:</w:t>
      </w:r>
      <w:r>
        <w:t xml:space="preserve"> </w:t>
      </w:r>
      <w:r>
        <w:t xml:space="preserve">Entered the luxury residential sector with three high-end Parramatta projects ($1.2M total value)</w:t>
      </w:r>
    </w:p>
    <w:p>
      <w:pPr>
        <w:numPr>
          <w:ilvl w:val="0"/>
          <w:numId w:val="1001"/>
        </w:numPr>
        <w:pStyle w:val="Compact"/>
      </w:pPr>
      <w:r>
        <w:rPr>
          <w:bCs/>
          <w:b/>
        </w:rPr>
        <w:t xml:space="preserve">Sustainability Premium:</w:t>
      </w:r>
      <w:r>
        <w:t xml:space="preserve"> </w:t>
      </w:r>
      <w:r>
        <w:t xml:space="preserve">68% of new contracts now include green building certifications (Green Star, NABERS), commanding 15-20% premium pricing</w:t>
      </w:r>
    </w:p>
    <w:bookmarkEnd w:id="22"/>
    <w:bookmarkStart w:id="23" w:name="X122a278a4dfb4aa03a2cafe810e571c20a34303"/>
    <w:p>
      <w:pPr>
        <w:pStyle w:val="Heading2"/>
      </w:pPr>
      <w:r>
        <w:t xml:space="preserve">Key Project Spotlight: Sydney Harbour Cultural Precinct</w:t>
      </w:r>
    </w:p>
    <w:p>
      <w:pPr>
        <w:pStyle w:val="FirstParagraph"/>
      </w:pPr>
      <w:r>
        <w:t xml:space="preserve">The $1.9M Sydney Harbour Cultural Precinct represents a watershed moment for our firm in Australia Sydney. This landmark project required innovative solutions to preserve heritage elements while creating a 21st-century cultural destination. Our architect team's adaptive reuse strategy – integrating the historic Maritime Museum with contemporary exhibition spaces – directly contributed to winning this prestigious commission through exceptional conceptual design.</w:t>
      </w:r>
    </w:p>
    <w:p>
      <w:pPr>
        <w:pStyle w:val="BodyText"/>
      </w:pPr>
      <w:r>
        <w:t xml:space="preserve">Client testimonial: "The architectural vision for the Harbour Precinct transformed our development concept from conventional to iconic. Their understanding of Sydney's cultural landscape was unparalleled." – Sarah Chen, Director, Sydney Cultural Development Authority</w:t>
      </w:r>
    </w:p>
    <w:p>
      <w:pPr>
        <w:pStyle w:val="BodyText"/>
      </w:pPr>
      <w:r>
        <w:t xml:space="preserve">This project has generated significant pipeline revenue through its phased implementation (2024-2030), with an estimated $5.6M in follow-on commissions projected over the next five years. It exemplifies how premium architectural services create multi-year revenue streams in Sydney's competitive market.</w:t>
      </w:r>
    </w:p>
    <w:bookmarkEnd w:id="23"/>
    <w:bookmarkStart w:id="24" w:name="strategic-pricing-and-value-proposition"/>
    <w:p>
      <w:pPr>
        <w:pStyle w:val="Heading2"/>
      </w:pPr>
      <w:r>
        <w:t xml:space="preserve">Strategic Pricing and Value Proposition</w:t>
      </w:r>
    </w:p>
    <w:p>
      <w:pPr>
        <w:pStyle w:val="FirstParagraph"/>
      </w:pPr>
      <w:r>
        <w:t xml:space="preserve">We've refined our value-based pricing model to reflect Australia Sydney's unique market conditions. Whereas traditional fixed-fee structures dominated the local sector, our new approach emphasizes:</w:t>
      </w:r>
    </w:p>
    <w:p>
      <w:pPr>
        <w:numPr>
          <w:ilvl w:val="0"/>
          <w:numId w:val="1002"/>
        </w:numPr>
        <w:pStyle w:val="Compact"/>
      </w:pPr>
      <w:r>
        <w:rPr>
          <w:bCs/>
          <w:b/>
        </w:rPr>
        <w:t xml:space="preserve">Outcome-Based Fees:</w:t>
      </w:r>
      <w:r>
        <w:t xml:space="preserve"> </w:t>
      </w:r>
      <w:r>
        <w:t xml:space="preserve">40% of revenue now tied to project success metrics (e.g., certification achievements, community engagement targets)</w:t>
      </w:r>
    </w:p>
    <w:p>
      <w:pPr>
        <w:numPr>
          <w:ilvl w:val="0"/>
          <w:numId w:val="1002"/>
        </w:numPr>
        <w:pStyle w:val="Compact"/>
      </w:pPr>
      <w:r>
        <w:rPr>
          <w:bCs/>
          <w:b/>
        </w:rPr>
        <w:t xml:space="preserve">Sydney-Specific Value Add-ons:</w:t>
      </w:r>
      <w:r>
        <w:t xml:space="preserve"> </w:t>
      </w:r>
      <w:r>
        <w:t xml:space="preserve">Customized services addressing local challenges including bushfire-prone design, coastal erosion mitigation, and Indigenous cultural integration</w:t>
      </w:r>
    </w:p>
    <w:p>
      <w:pPr>
        <w:numPr>
          <w:ilvl w:val="0"/>
          <w:numId w:val="1002"/>
        </w:numPr>
        <w:pStyle w:val="Compact"/>
      </w:pPr>
      <w:r>
        <w:rPr>
          <w:bCs/>
          <w:b/>
        </w:rPr>
        <w:t xml:space="preserve">Premium for Innovation:</w:t>
      </w:r>
      <w:r>
        <w:t xml:space="preserve"> </w:t>
      </w:r>
      <w:r>
        <w:t xml:space="preserve">22% price premium for projects incorporating cutting-edge sustainable technologies validated by Sydney's Green Building Council</w:t>
      </w:r>
    </w:p>
    <w:p>
      <w:pPr>
        <w:pStyle w:val="FirstParagraph"/>
      </w:pPr>
      <w:r>
        <w:t xml:space="preserve">This strategy has elevated our average project value to $385,000 (vs. industry $297,000) while strengthening client relationships through shared success metrics.</w:t>
      </w:r>
    </w:p>
    <w:bookmarkEnd w:id="24"/>
    <w:bookmarkStart w:id="25" w:name="X43fda57eef7eb5c67611f97ed31b4e47b2db518"/>
    <w:p>
      <w:pPr>
        <w:pStyle w:val="Heading2"/>
      </w:pPr>
      <w:r>
        <w:t xml:space="preserve">Challenges in the Australia Sydney Market</w:t>
      </w:r>
    </w:p>
    <w:p>
      <w:pPr>
        <w:pStyle w:val="FirstParagraph"/>
      </w:pPr>
      <w:r>
        <w:t xml:space="preserve">Despite strong performance, we've navigated significant market headwinds unique to Sydney:</w:t>
      </w:r>
    </w:p>
    <w:p>
      <w:pPr>
        <w:numPr>
          <w:ilvl w:val="0"/>
          <w:numId w:val="1003"/>
        </w:numPr>
        <w:pStyle w:val="Compact"/>
      </w:pPr>
      <w:r>
        <w:rPr>
          <w:bCs/>
          <w:b/>
        </w:rPr>
        <w:t xml:space="preserve">Regulatory Complexity:</w:t>
      </w:r>
      <w:r>
        <w:t xml:space="preserve"> </w:t>
      </w:r>
      <w:r>
        <w:t xml:space="preserve">37% of sales cycles extended due to NSW Heritage Council approvals requiring specialized architectural documentation</w:t>
      </w:r>
    </w:p>
    <w:p>
      <w:pPr>
        <w:numPr>
          <w:ilvl w:val="0"/>
          <w:numId w:val="1003"/>
        </w:numPr>
        <w:pStyle w:val="Compact"/>
      </w:pPr>
      <w:r>
        <w:rPr>
          <w:bCs/>
          <w:b/>
        </w:rPr>
        <w:t xml:space="preserve">Talent Shortage:</w:t>
      </w:r>
      <w:r>
        <w:t xml:space="preserve"> </w:t>
      </w:r>
      <w:r>
        <w:t xml:space="preserve">Competition for qualified architects in Sydney has increased pricing pressure by 12% year-on-year</w:t>
      </w:r>
    </w:p>
    <w:p>
      <w:pPr>
        <w:numPr>
          <w:ilvl w:val="0"/>
          <w:numId w:val="1003"/>
        </w:numPr>
        <w:pStyle w:val="Compact"/>
      </w:pPr>
      <w:r>
        <w:rPr>
          <w:bCs/>
          <w:b/>
        </w:rPr>
        <w:t xml:space="preserve">Supply Chain Delays:</w:t>
      </w:r>
      <w:r>
        <w:t xml:space="preserve"> </w:t>
      </w:r>
      <w:r>
        <w:t xml:space="preserve">28% of project timelines impacted by material shortages affecting design finalization phases</w:t>
      </w:r>
    </w:p>
    <w:p>
      <w:pPr>
        <w:pStyle w:val="FirstParagraph"/>
      </w:pPr>
      <w:r>
        <w:t xml:space="preserve">To counter these, we've invested $350,000 in Sydney-based digital tools for accelerated approval processes and established partnerships with two local universities to secure emerging talent.</w:t>
      </w:r>
    </w:p>
    <w:bookmarkEnd w:id="25"/>
    <w:bookmarkStart w:id="26" w:name="X9d5a12940af2bddada8be82945dfdc05766a64e"/>
    <w:p>
      <w:pPr>
        <w:pStyle w:val="Heading2"/>
      </w:pPr>
      <w:r>
        <w:t xml:space="preserve">Client Acquisition Strategy: Targeting Sydney's Premium Segments</w:t>
      </w:r>
    </w:p>
    <w:p>
      <w:pPr>
        <w:pStyle w:val="FirstParagraph"/>
      </w:pPr>
      <w:r>
        <w:t xml:space="preserve">Our sales force has shifted focus to high-value segments where architectural expertise delivers maximum ROI, aligning with Australia Sydney's economic priorities:</w:t>
      </w:r>
    </w:p>
    <w:p>
      <w:pPr>
        <w:numPr>
          <w:ilvl w:val="0"/>
          <w:numId w:val="1004"/>
        </w:numPr>
        <w:pStyle w:val="Compact"/>
      </w:pPr>
      <w:r>
        <w:rPr>
          <w:bCs/>
          <w:b/>
        </w:rPr>
        <w:t xml:space="preserve">Luxury Residential (35% of new contracts):</w:t>
      </w:r>
      <w:r>
        <w:t xml:space="preserve"> </w:t>
      </w:r>
      <w:r>
        <w:t xml:space="preserve">Partnering with elite developers like Lendlease and Stockland on premium inner-city projects</w:t>
      </w:r>
    </w:p>
    <w:p>
      <w:pPr>
        <w:numPr>
          <w:ilvl w:val="0"/>
          <w:numId w:val="1004"/>
        </w:numPr>
        <w:pStyle w:val="Compact"/>
      </w:pPr>
      <w:r>
        <w:rPr>
          <w:bCs/>
          <w:b/>
        </w:rPr>
        <w:t xml:space="preserve">Sustainable Commercial (42% of pipeline):</w:t>
      </w:r>
      <w:r>
        <w:t xml:space="preserve"> </w:t>
      </w:r>
      <w:r>
        <w:t xml:space="preserve">Targeting corporate HQ relocations in Sydney's CBD under Net Zero 2050 initiatives</w:t>
      </w:r>
    </w:p>
    <w:p>
      <w:pPr>
        <w:numPr>
          <w:ilvl w:val="0"/>
          <w:numId w:val="1004"/>
        </w:numPr>
        <w:pStyle w:val="Compact"/>
      </w:pPr>
      <w:r>
        <w:rPr>
          <w:bCs/>
          <w:b/>
        </w:rPr>
        <w:t xml:space="preserve">Public Infrastructure (23% of revenue):</w:t>
      </w:r>
      <w:r>
        <w:t xml:space="preserve"> </w:t>
      </w:r>
      <w:r>
        <w:t xml:space="preserve">Securing government tenders for health, education and transport projects across Greater Sydney</w:t>
      </w:r>
    </w:p>
    <w:p>
      <w:pPr>
        <w:pStyle w:val="FirstParagraph"/>
      </w:pPr>
      <w:r>
        <w:t xml:space="preserve">This segmentation strategy has improved our conversion rate by 27% compared to generalist approaches in the Australia Sydney market.</w:t>
      </w:r>
    </w:p>
    <w:bookmarkEnd w:id="26"/>
    <w:bookmarkStart w:id="27" w:name="X5a5823c411430828aad88ed5bb84cb55f91ae92"/>
    <w:p>
      <w:pPr>
        <w:pStyle w:val="Heading2"/>
      </w:pPr>
      <w:r>
        <w:t xml:space="preserve">Future Outlook: Architectural Growth Trajectory</w:t>
      </w:r>
    </w:p>
    <w:p>
      <w:pPr>
        <w:pStyle w:val="FirstParagraph"/>
      </w:pPr>
      <w:r>
        <w:t xml:space="preserve">Based on current sales momentum and Sydney's development pipeline, we project 24% revenue growth for FY2024. Key drivers include:</w:t>
      </w:r>
    </w:p>
    <w:p>
      <w:pPr>
        <w:numPr>
          <w:ilvl w:val="0"/>
          <w:numId w:val="1005"/>
        </w:numPr>
        <w:pStyle w:val="Compact"/>
      </w:pPr>
      <w:r>
        <w:rPr>
          <w:bCs/>
          <w:b/>
        </w:rPr>
        <w:t xml:space="preserve">Western Sydney Development Wave:</w:t>
      </w:r>
      <w:r>
        <w:t xml:space="preserve"> </w:t>
      </w:r>
      <w:r>
        <w:t xml:space="preserve">Anticipating 35% of new contracts from Parramatta/Liverpool CBD expansion</w:t>
      </w:r>
    </w:p>
    <w:p>
      <w:pPr>
        <w:numPr>
          <w:ilvl w:val="0"/>
          <w:numId w:val="1005"/>
        </w:numPr>
        <w:pStyle w:val="Compact"/>
      </w:pPr>
      <w:r>
        <w:rPr>
          <w:bCs/>
          <w:b/>
        </w:rPr>
        <w:t xml:space="preserve">Sustainability Mandate Acceleration:</w:t>
      </w:r>
      <w:r>
        <w:t xml:space="preserve"> </w:t>
      </w:r>
      <w:r>
        <w:t xml:space="preserve">NSW Government's mandatory 40% emissions reduction for new builds by 2026 creating urgent demand</w:t>
      </w:r>
    </w:p>
    <w:p>
      <w:pPr>
        <w:numPr>
          <w:ilvl w:val="0"/>
          <w:numId w:val="1005"/>
        </w:numPr>
        <w:pStyle w:val="Compact"/>
      </w:pPr>
      <w:r>
        <w:t xml:space="preserve">Government Digital Platforms: NSW Planning Portal integration reducing approval timelines by 45%, accelerating project kickoff</w:t>
      </w:r>
    </w:p>
    <w:p>
      <w:pPr>
        <w:pStyle w:val="FirstParagraph"/>
      </w:pPr>
      <w:r>
        <w:t xml:space="preserve">We're positioning our firm as the preferred architectural partner for Sydney's $35 billion "Sydney 2030" development strategy. This requires continuous investment in Sydney-specific expertise – including specialized teams for coastal architecture, cultural heritage integration, and bushfire-resistant design.</w:t>
      </w:r>
    </w:p>
    <w:bookmarkEnd w:id="27"/>
    <w:bookmarkStart w:id="28" w:name="X20a9e845ec31934927fdb9b92e59b516764aa17"/>
    <w:p>
      <w:pPr>
        <w:pStyle w:val="Heading2"/>
      </w:pPr>
      <w:r>
        <w:t xml:space="preserve">Conclusion: Architectural Excellence Driving Sales Success</w:t>
      </w:r>
    </w:p>
    <w:p>
      <w:pPr>
        <w:pStyle w:val="FirstParagraph"/>
      </w:pPr>
      <w:r>
        <w:t xml:space="preserve">This Sales Report confirms that strategic architectural leadership remains the cornerstone of business success in Australia Sydney. Our ability to translate Sydney's unique urban challenges into innovative design solutions directly correlates with our sales performance, client retention, and premium pricing capability. As the city prepares for its next era of transformation under the "Sydney 2030" vision, our firm is uniquely positioned to deliver exceptional architectural value that shapes Australia's most dynamic metropolitan landscape.</w:t>
      </w:r>
    </w:p>
    <w:p>
      <w:pPr>
        <w:pStyle w:val="BodyText"/>
      </w:pPr>
      <w:r>
        <w:t xml:space="preserve">The data is unequivocal: In Australia Sydney's competitive architectural market, clients don't simply purchase services – they invest in visionary design leadership. Our sales strategy has successfully demonstrated this value proposition through measurable revenue growth, strategic market expansion, and deepening relationships with key Sydney stakeholders. As we enter 2024, we remain committed to delivering the highest-caliber architectural excellence that defines our firm's reputation across Australia Sydney.</w:t>
      </w:r>
    </w:p>
    <w:p>
      <w:pPr>
        <w:pStyle w:val="BodyText"/>
      </w:pPr>
      <w:r>
        <w:rPr>
          <w:bCs/>
          <w:b/>
        </w:rPr>
        <w:t xml:space="preserve">Prepared by:</w:t>
      </w:r>
      <w:r>
        <w:t xml:space="preserve"> </w:t>
      </w:r>
      <w:r>
        <w:t xml:space="preserve">[Architectural Sales Leadership Team]</w:t>
      </w:r>
    </w:p>
    <w:p>
      <w:pPr>
        <w:pStyle w:val="BodyText"/>
      </w:pPr>
      <w:r>
        <w:rPr>
          <w:bCs/>
          <w:b/>
        </w:rPr>
        <w:t xml:space="preserve">Date:</w:t>
      </w:r>
      <w:r>
        <w:t xml:space="preserve"> </w:t>
      </w:r>
      <w:r>
        <w:t xml:space="preserve">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in Australia Sydney</dc:title>
  <dc:creator/>
  <dc:language>en</dc:language>
  <cp:keywords/>
  <dcterms:created xsi:type="dcterms:W3CDTF">2026-07-21T14:29:05Z</dcterms:created>
  <dcterms:modified xsi:type="dcterms:W3CDTF">2026-07-21T14:29:05Z</dcterms:modified>
</cp:coreProperties>
</file>

<file path=docProps/custom.xml><?xml version="1.0" encoding="utf-8"?>
<Properties xmlns="http://schemas.openxmlformats.org/officeDocument/2006/custom-properties" xmlns:vt="http://schemas.openxmlformats.org/officeDocument/2006/docPropsVTypes"/>
</file>