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8" w:name="Xd6bd9ea1b26421fa9172a3a4ec437c50585c84b"/>
    <w:p>
      <w:pPr>
        <w:pStyle w:val="Heading1"/>
      </w:pPr>
      <w:r>
        <w:t xml:space="preserve">Q3 2023 Sales Report: Strategic Growth of Architectural Excellence in Bangladesh Dhaka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Dhaka-based Architectural Firm</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architectural services division in Bangladesh Dhaka during Q3 2023. Against a backdrop of rapid urbanization and infrastructure development in the capital city, our Architect team has demonstrated exceptional growth, securing contracts worth BDT 185 million (approximately USD 1.6 million) – a 24% increase over Q2. This success underscores Dhaka's position as the epicenter of architectural innovation in Bangladesh and validates our strategic focus on sustainable, context-sensitive design solutions for the Bangladeshi market.</w:t>
      </w:r>
    </w:p>
    <w:bookmarkEnd w:id="20"/>
    <w:bookmarkStart w:id="21" w:name="X63491256a00e993af67f6fa2a57b97c39ff1cb1"/>
    <w:p>
      <w:pPr>
        <w:pStyle w:val="Heading2"/>
      </w:pPr>
      <w:r>
        <w:t xml:space="preserve">Market Context: Dhaka's Architectural Momentum</w:t>
      </w:r>
    </w:p>
    <w:p>
      <w:pPr>
        <w:pStyle w:val="FirstParagraph"/>
      </w:pPr>
      <w:r>
        <w:t xml:space="preserve">Dhaka continues to experience unprecedented construction activity driven by government initiatives like the Dhaka Metro Rail project, private sector real estate boom in sectors like Gulshan, Banani, and Dhanmondi, and urgent needs for climate-resilient infrastructure. As Bangladesh's economic capital and a city projected to house 25 million people by 2030, Dhaka presents unparalleled opportunities for forward-thinking Architects. Our Sales Report confirms that clients prioritize Architect firms with deep local knowledge of Dhaka's unique challenges: monsoon-driven construction cycles, complex land ownership systems, seismic considerations, and the growing demand for energy-efficient building solutions that reduce operational costs in a high-heat environment.</w:t>
      </w:r>
    </w:p>
    <w:bookmarkEnd w:id="21"/>
    <w:bookmarkStart w:id="22" w:name="X31496a2546f05f38d43a38e0e4384b0691964c4"/>
    <w:p>
      <w:pPr>
        <w:pStyle w:val="Heading2"/>
      </w:pPr>
      <w:r>
        <w:t xml:space="preserve">Key Performance Indicators: Sales Report Highlights</w:t>
      </w:r>
    </w:p>
    <w:p>
      <w:pPr>
        <w:numPr>
          <w:ilvl w:val="0"/>
          <w:numId w:val="1001"/>
        </w:numPr>
        <w:pStyle w:val="Compact"/>
      </w:pPr>
      <w:r>
        <w:rPr>
          <w:bCs/>
          <w:b/>
        </w:rPr>
        <w:t xml:space="preserve">Contract Value Secured:</w:t>
      </w:r>
      <w:r>
        <w:t xml:space="preserve"> </w:t>
      </w:r>
      <w:r>
        <w:t xml:space="preserve">BDT 185 million (Q3) | +24% QoQ, +41% YoY</w:t>
      </w:r>
    </w:p>
    <w:p>
      <w:pPr>
        <w:numPr>
          <w:ilvl w:val="0"/>
          <w:numId w:val="1001"/>
        </w:numPr>
        <w:pStyle w:val="Compact"/>
      </w:pPr>
      <w:r>
        <w:rPr>
          <w:bCs/>
          <w:b/>
        </w:rPr>
        <w:t xml:space="preserve">New Client Acquisition:</w:t>
      </w:r>
      <w:r>
        <w:t xml:space="preserve"> </w:t>
      </w:r>
      <w:r>
        <w:t xml:space="preserve">17 new projects (vs. 12 in Q2), including 3 major government-affiliated entities</w:t>
      </w:r>
    </w:p>
    <w:p>
      <w:pPr>
        <w:numPr>
          <w:ilvl w:val="0"/>
          <w:numId w:val="1001"/>
        </w:numPr>
        <w:pStyle w:val="Compact"/>
      </w:pPr>
      <w:r>
        <w:rPr>
          <w:bCs/>
          <w:b/>
        </w:rPr>
        <w:t xml:space="preserve">Project Pipeline Growth:</w:t>
      </w:r>
      <w:r>
        <w:t xml:space="preserve"> </w:t>
      </w:r>
      <w:r>
        <w:t xml:space="preserve">Total active projects increased by 35%, totaling 48 ongoing assignments across Dhaka city limits</w:t>
      </w:r>
    </w:p>
    <w:p>
      <w:pPr>
        <w:numPr>
          <w:ilvl w:val="0"/>
          <w:numId w:val="1001"/>
        </w:numPr>
        <w:pStyle w:val="Compact"/>
      </w:pPr>
      <w:r>
        <w:rPr>
          <w:bCs/>
          <w:b/>
        </w:rPr>
        <w:t xml:space="preserve">Clients Served:</w:t>
      </w:r>
      <w:r>
        <w:t xml:space="preserve"> </w:t>
      </w:r>
      <w:r>
        <w:t xml:space="preserve">65% commercial developers, 25% government/semi-government bodies (e.g., DMC, RAJUK), 10% residential high-end projects</w:t>
      </w:r>
    </w:p>
    <w:p>
      <w:pPr>
        <w:numPr>
          <w:ilvl w:val="0"/>
          <w:numId w:val="1001"/>
        </w:numPr>
        <w:pStyle w:val="Compact"/>
      </w:pPr>
      <w:r>
        <w:rPr>
          <w:bCs/>
          <w:b/>
        </w:rPr>
        <w:t xml:space="preserve">Sales Conversion Rate:</w:t>
      </w:r>
      <w:r>
        <w:t xml:space="preserve"> </w:t>
      </w:r>
      <w:r>
        <w:t xml:space="preserve">38% (up from 32% in Q2), reflecting refined sales strategy targeting Dhaka's development priorities</w:t>
      </w:r>
    </w:p>
    <w:bookmarkEnd w:id="22"/>
    <w:bookmarkStart w:id="23" w:name="X1fba2b37ea6c5b45e0e92bc9febb34dfa17b801"/>
    <w:p>
      <w:pPr>
        <w:pStyle w:val="Heading2"/>
      </w:pPr>
      <w:r>
        <w:t xml:space="preserve">Architect-Driven Sales Success: The Dhaka Advantage</w:t>
      </w:r>
    </w:p>
    <w:p>
      <w:pPr>
        <w:pStyle w:val="FirstParagraph"/>
      </w:pPr>
      <w:r>
        <w:t xml:space="preserve">The cornerstone of our growth is the strategic integration of our Architect team into the pre-sales process. Unlike traditional firms where Architects join after project award, we embed them early in client discussions. Our Architect consultants leverage deep local expertise to:</w:t>
      </w:r>
    </w:p>
    <w:p>
      <w:pPr>
        <w:numPr>
          <w:ilvl w:val="0"/>
          <w:numId w:val="1002"/>
        </w:numPr>
        <w:pStyle w:val="Compact"/>
      </w:pPr>
      <w:r>
        <w:t xml:space="preserve">Translate client visions into technically feasible, cost-effective Dhaka-specific designs</w:t>
      </w:r>
    </w:p>
    <w:p>
      <w:pPr>
        <w:numPr>
          <w:ilvl w:val="0"/>
          <w:numId w:val="1002"/>
        </w:numPr>
        <w:pStyle w:val="Compact"/>
      </w:pPr>
      <w:r>
        <w:t xml:space="preserve">Predict and mitigate common Dhaka construction challenges (e.g., monsoon delays, soil instability)</w:t>
      </w:r>
    </w:p>
    <w:p>
      <w:pPr>
        <w:numPr>
          <w:ilvl w:val="0"/>
          <w:numId w:val="1002"/>
        </w:numPr>
        <w:pStyle w:val="Compact"/>
      </w:pPr>
      <w:r>
        <w:t xml:space="preserve">Develop proposals that explicitly address Bangladesh's National Building Code requirements and sustainability mandates</w:t>
      </w:r>
    </w:p>
    <w:p>
      <w:pPr>
        <w:pStyle w:val="FirstParagraph"/>
      </w:pPr>
      <w:r>
        <w:t xml:space="preserve">This approach directly fueled the 30% increase in proposals generated for large-scale mixed-use projects in Dhaka. Clients consistently cite our Architects' understanding of local materials, labor practices, and cultural context as decisive factors in selection.</w:t>
      </w:r>
    </w:p>
    <w:bookmarkEnd w:id="23"/>
    <w:bookmarkStart w:id="24" w:name="Xf611b64c5ed5a0ce64fbc84c1b71e2527be099b"/>
    <w:p>
      <w:pPr>
        <w:pStyle w:val="Heading2"/>
      </w:pPr>
      <w:r>
        <w:t xml:space="preserve">Case Study: The "Green Haven" Residential Complex (Dhaka North)</w:t>
      </w:r>
    </w:p>
    <w:p>
      <w:pPr>
        <w:pStyle w:val="FirstParagraph"/>
      </w:pPr>
      <w:r>
        <w:t xml:space="preserve">This flagship project exemplifies our Architect-led sales strategy's effectiveness. The client (a prominent Dhaka-based developer) initially sought generic residential plans. Our lead Architect conducted site-specific analysis, identifying the unique microclimate of the Uttara area and proposing a design incorporating passive cooling techniques using locally sourced brick and strategic courtyard placement – reducing HVAC needs by an estimated 35%. This solution, developed through iterative discussions with our Architect team *during* the sales phase, directly translated into:</w:t>
      </w:r>
    </w:p>
    <w:p>
      <w:pPr>
        <w:numPr>
          <w:ilvl w:val="0"/>
          <w:numId w:val="1003"/>
        </w:numPr>
        <w:pStyle w:val="Compact"/>
      </w:pPr>
      <w:r>
        <w:t xml:space="preserve">A contract value increase from BDT 48 million to BDT 72 million</w:t>
      </w:r>
    </w:p>
    <w:p>
      <w:pPr>
        <w:numPr>
          <w:ilvl w:val="0"/>
          <w:numId w:val="1003"/>
        </w:numPr>
        <w:pStyle w:val="Compact"/>
      </w:pPr>
      <w:r>
        <w:t xml:space="preserve">Accelerated approval process due to alignment with RAJUK's new sustainable guidelines</w:t>
      </w:r>
    </w:p>
    <w:p>
      <w:pPr>
        <w:numPr>
          <w:ilvl w:val="0"/>
          <w:numId w:val="1003"/>
        </w:numPr>
        <w:pStyle w:val="Compact"/>
      </w:pPr>
      <w:r>
        <w:t xml:space="preserve">Significant client satisfaction and referral for a follow-up project in Mohakhali</w:t>
      </w:r>
    </w:p>
    <w:bookmarkEnd w:id="24"/>
    <w:bookmarkStart w:id="25" w:name="Xe562c2a6664233340aec0ca103d9019ebda90ab"/>
    <w:p>
      <w:pPr>
        <w:pStyle w:val="Heading2"/>
      </w:pPr>
      <w:r>
        <w:t xml:space="preserve">Challenges &amp; Strategic Response: Navigating Dhaka's Complex Landscape</w:t>
      </w:r>
    </w:p>
    <w:p>
      <w:pPr>
        <w:pStyle w:val="FirstParagraph"/>
      </w:pPr>
      <w:r>
        <w:t xml:space="preserve">This Sales Report acknowledges key challenges specific to the Dhaka market:</w:t>
      </w:r>
    </w:p>
    <w:p>
      <w:pPr>
        <w:numPr>
          <w:ilvl w:val="0"/>
          <w:numId w:val="1004"/>
        </w:numPr>
        <w:pStyle w:val="Compact"/>
      </w:pPr>
      <w:r>
        <w:rPr>
          <w:iCs/>
          <w:i/>
        </w:rPr>
        <w:t xml:space="preserve">Regulatory Complexity:</w:t>
      </w:r>
      <w:r>
        <w:t xml:space="preserve"> </w:t>
      </w:r>
      <w:r>
        <w:t xml:space="preserve">Lengthy approvals through multiple agencies (RAJUK, DSA, etc.). *Response:* Our Architect team now includes dedicated regulatory liaison staff trained specifically on Dhaka's bureaucratic pathways.</w:t>
      </w:r>
    </w:p>
    <w:p>
      <w:pPr>
        <w:numPr>
          <w:ilvl w:val="0"/>
          <w:numId w:val="1004"/>
        </w:numPr>
        <w:pStyle w:val="Compact"/>
      </w:pPr>
      <w:r>
        <w:rPr>
          <w:iCs/>
          <w:i/>
        </w:rPr>
        <w:t xml:space="preserve">Material Supply Chain Volatility:</w:t>
      </w:r>
      <w:r>
        <w:t xml:space="preserve"> </w:t>
      </w:r>
      <w:r>
        <w:t xml:space="preserve">Price fluctuations for steel and cement impacting budgets. *Response:* Our Architects proactively develop material substitution strategies within design phase, as seen in the successful use of locally quarried limestone for the "Green Haven" project.</w:t>
      </w:r>
    </w:p>
    <w:p>
      <w:pPr>
        <w:numPr>
          <w:ilvl w:val="0"/>
          <w:numId w:val="1004"/>
        </w:numPr>
        <w:pStyle w:val="Compact"/>
      </w:pPr>
      <w:r>
        <w:rPr>
          <w:iCs/>
          <w:i/>
        </w:rPr>
        <w:t xml:space="preserve">Climate Resilience Demand:</w:t>
      </w:r>
      <w:r>
        <w:t xml:space="preserve"> </w:t>
      </w:r>
      <w:r>
        <w:t xml:space="preserve">Rising client focus on flood mitigation and heat reduction post-2022 monsoon. *Response:* Our Architect team developed a standardized Dhaka Climate Resilience Checklist, now included in all new proposals.</w:t>
      </w:r>
    </w:p>
    <w:bookmarkEnd w:id="25"/>
    <w:bookmarkStart w:id="26" w:name="Xf690d9e89df1ba4bd96b9d10786d04f54bf7cc6"/>
    <w:p>
      <w:pPr>
        <w:pStyle w:val="Heading2"/>
      </w:pPr>
      <w:r>
        <w:t xml:space="preserve">Future Outlook: Scaling Architectural Sales in Bangladesh Dhaka</w:t>
      </w:r>
    </w:p>
    <w:p>
      <w:pPr>
        <w:pStyle w:val="FirstParagraph"/>
      </w:pPr>
      <w:r>
        <w:t xml:space="preserve">The trajectory outlined in this Sales Report points to sustained growth. We project Q4 2023 contract values to exceed BDT 210 million, driven by:</w:t>
      </w:r>
    </w:p>
    <w:p>
      <w:pPr>
        <w:numPr>
          <w:ilvl w:val="0"/>
          <w:numId w:val="1005"/>
        </w:numPr>
        <w:pStyle w:val="Compact"/>
      </w:pPr>
      <w:r>
        <w:t xml:space="preserve">Leveraging our success with government entities (RAJUK's upcoming "Smart Housing" initiative)</w:t>
      </w:r>
    </w:p>
    <w:p>
      <w:pPr>
        <w:numPr>
          <w:ilvl w:val="0"/>
          <w:numId w:val="1005"/>
        </w:numPr>
        <w:pStyle w:val="Compact"/>
      </w:pPr>
      <w:r>
        <w:t xml:space="preserve">Expanding the Architect team with specialized expertise in Dhaka's high-rise development norms</w:t>
      </w:r>
    </w:p>
    <w:p>
      <w:pPr>
        <w:numPr>
          <w:ilvl w:val="0"/>
          <w:numId w:val="1005"/>
        </w:numPr>
        <w:pStyle w:val="Compact"/>
      </w:pPr>
      <w:r>
        <w:t xml:space="preserve">Launching a dedicated "Dhaka Urban Design" service line focused on adaptive reuse of historic structures – a rapidly emerging market need.</w:t>
      </w:r>
    </w:p>
    <w:p>
      <w:pPr>
        <w:pStyle w:val="FirstParagraph"/>
      </w:pPr>
      <w:r>
        <w:t xml:space="preserve">Crucially, this Sales Report reaffirms that in the competitive Bangladeshi market, especially within Dhaka's dynamic real estate ecosystem, the value proposition is inseparable from the Architect. Our sales success is not merely about selling designs; it's about delivering measurable business outcomes through expertise deeply rooted in Bangladesh Dhaka's unique urban fabric and developmental imperatives.</w:t>
      </w:r>
    </w:p>
    <w:bookmarkEnd w:id="26"/>
    <w:bookmarkStart w:id="27" w:name="conclusion"/>
    <w:p>
      <w:pPr>
        <w:pStyle w:val="Heading2"/>
      </w:pPr>
      <w:r>
        <w:t xml:space="preserve">Conclusion</w:t>
      </w:r>
    </w:p>
    <w:p>
      <w:pPr>
        <w:pStyle w:val="FirstParagraph"/>
      </w:pPr>
      <w:r>
        <w:t xml:space="preserve">The Q3 2023 Sales Report stands as undeniable proof that investing in Architect-led sales strategy is the optimal path for growth in Bangladesh's most critical market – Dhaka. By embedding our Architect team within client relationship management, we have transformed the architectural service from a cost center into a primary revenue driver and differentiator. As Bangladesh's capital continues its remarkable transformation, our firm is positioned not just to participate in, but to actively shape the future of Dhaka through innovative design and commercially astute service delivery. The focus remains clear: leverage our Architect expertise to solve Dhaka-specific problems, deliver exceptional value for clients across Bangladesh, and solidify our leadership position in this vital market.</w:t>
      </w:r>
    </w:p>
    <w:p>
      <w:pPr>
        <w:pStyle w:val="BodyText"/>
      </w:pPr>
      <w:r>
        <w:rPr>
          <w:bCs/>
          <w:b/>
        </w:rPr>
        <w:t xml:space="preserve">Prepared By:</w:t>
      </w:r>
      <w:r>
        <w:t xml:space="preserve"> </w:t>
      </w:r>
      <w:r>
        <w:t xml:space="preserve">Sales &amp; Business Development Department</w:t>
      </w:r>
      <w:r>
        <w:br/>
      </w:r>
      <w:r>
        <w:rPr>
          <w:bCs/>
          <w:b/>
        </w:rPr>
        <w:t xml:space="preserve">Firm:</w:t>
      </w:r>
      <w:r>
        <w:t xml:space="preserve"> </w:t>
      </w:r>
      <w:r>
        <w:t xml:space="preserve">Aarong Architects (Pvt.) Ltd.</w:t>
      </w:r>
      <w:r>
        <w:br/>
      </w:r>
      <w:r>
        <w:rPr>
          <w:bCs/>
          <w:b/>
        </w:rPr>
        <w:t xml:space="preserve">Headquarters:</w:t>
      </w:r>
      <w:r>
        <w:t xml:space="preserve"> </w:t>
      </w:r>
      <w:r>
        <w:t xml:space="preserve">Dhaka, Bangladesh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Architectural Services Performance in Bangladesh Dhaka</dc:title>
  <dc:creator/>
  <dc:language>en</dc:language>
  <cp:keywords/>
  <dcterms:created xsi:type="dcterms:W3CDTF">2026-07-23T09:48:09Z</dcterms:created>
  <dcterms:modified xsi:type="dcterms:W3CDTF">2026-07-23T09:48:09Z</dcterms:modified>
</cp:coreProperties>
</file>

<file path=docProps/custom.xml><?xml version="1.0" encoding="utf-8"?>
<Properties xmlns="http://schemas.openxmlformats.org/officeDocument/2006/custom-properties" xmlns:vt="http://schemas.openxmlformats.org/officeDocument/2006/docPropsVTypes"/>
</file>