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Architect</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8" w:name="X6c5b013251c6a533eca938a11bb9d0dfddc3003"/>
    <w:p>
      <w:pPr>
        <w:pStyle w:val="Heading1"/>
      </w:pPr>
      <w:r>
        <w:t xml:space="preserve">Q3 2023 Quarterly Sales Report: Architect Services in Belgium Brussels</w:t>
      </w:r>
    </w:p>
    <w:bookmarkStart w:id="20" w:name="Xa7f517005a70cb2c977bd7d505b258879b02f53"/>
    <w:p>
      <w:pPr>
        <w:pStyle w:val="Heading2"/>
      </w:pPr>
      <w:r>
        <w:t xml:space="preserve">Prepared for Executive Leadership Team | Date: October 26, 2023</w:t>
      </w:r>
    </w:p>
    <w:p>
      <w:pPr>
        <w:pStyle w:val="FirstParagraph"/>
      </w:pPr>
      <w:r>
        <w:t xml:space="preserve">This comprehensive Sales Report details the performance of our architectural services division across the dynamic urban landscape of Belgium Brussels. As a leading architectural firm with deep roots in European design excellence, we've achieved remarkable milestones this quarter while navigating the unique complexities of Belgium's capital region. This document outlines our strategic positioning, market penetration, client satisfaction metrics, and forward-looking initiatives specifically tailored for the Belgium Brussels architectural marketplace.</w:t>
      </w:r>
    </w:p>
    <w:bookmarkEnd w:id="20"/>
    <w:bookmarkStart w:id="21" w:name="Xfd7377d6489cb8c60c78d834c99e438fcfc1aea"/>
    <w:p>
      <w:pPr>
        <w:pStyle w:val="Heading2"/>
      </w:pPr>
      <w:r>
        <w:t xml:space="preserve">Market Context: The Brussels Architectural Landscape</w:t>
      </w:r>
    </w:p>
    <w:p>
      <w:pPr>
        <w:pStyle w:val="FirstParagraph"/>
      </w:pPr>
      <w:r>
        <w:t xml:space="preserve">Belgium Brussels presents a distinctive convergence of historical preservation challenges and cutting-edge urban development demands. As the political heart of the European Union, Brussels requires architects to navigate intricate regulatory frameworks while delivering sustainable, culturally resonant designs. Our firm has capitalized on this niche by positioning our Architect services as essential for EU institutions, international corporations relocating to Brussels, and local civic projects demanding both technical precision and cultural sensitivity. The Belgium Brussels market grew 6.8% this quarter (vs. Q2), driven by new infrastructure mandates from the European Commission's Green Deal initiatives – a sector where our Architect expertise has become increasingly indispensable.</w:t>
      </w:r>
    </w:p>
    <w:bookmarkEnd w:id="21"/>
    <w:bookmarkStart w:id="22" w:name="sales-performance-highlights-key-metrics"/>
    <w:p>
      <w:pPr>
        <w:pStyle w:val="Heading2"/>
      </w:pPr>
      <w:r>
        <w:t xml:space="preserve">Sales Performance Highlights: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w:t>
            </w:r>
          </w:p>
        </w:tc>
        <w:tc>
          <w:tcPr/>
          <w:p>
            <w:pPr>
              <w:pStyle w:val="Compact"/>
              <w:jc w:val="left"/>
            </w:pPr>
            <w:r>
              <w:t xml:space="preserve">% Growth vs Q2</w:t>
            </w:r>
          </w:p>
        </w:tc>
        <w:tc>
          <w:tcPr/>
          <w:p>
            <w:pPr>
              <w:pStyle w:val="Compact"/>
              <w:jc w:val="left"/>
            </w:pPr>
            <w:r>
              <w:t xml:space="preserve">Key Driver</w:t>
            </w:r>
          </w:p>
        </w:tc>
      </w:tr>
      <w:tr>
        <w:tc>
          <w:tcPr/>
          <w:p>
            <w:pPr>
              <w:pStyle w:val="Compact"/>
              <w:jc w:val="left"/>
            </w:pPr>
            <w:r>
              <w:t xml:space="preserve">Residential Projects (Brussels Core)</w:t>
            </w:r>
          </w:p>
        </w:tc>
        <w:tc>
          <w:tcPr/>
          <w:p>
            <w:pPr>
              <w:pStyle w:val="Compact"/>
              <w:jc w:val="left"/>
            </w:pPr>
            <w:r>
              <w:t xml:space="preserve">1,850,000</w:t>
            </w:r>
          </w:p>
        </w:tc>
        <w:tc>
          <w:tcPr/>
          <w:p>
            <w:pPr>
              <w:pStyle w:val="Compact"/>
              <w:jc w:val="left"/>
            </w:pPr>
            <w:r>
              <w:t xml:space="preserve">+14.2%</w:t>
            </w:r>
          </w:p>
        </w:tc>
        <w:tc>
          <w:tcPr/>
          <w:p>
            <w:pPr>
              <w:pStyle w:val="Compact"/>
              <w:jc w:val="left"/>
            </w:pPr>
            <w:r>
              <w:t xml:space="preserve">EU Staff Housing Demand</w:t>
            </w:r>
          </w:p>
        </w:tc>
      </w:tr>
      <w:tr>
        <w:tc>
          <w:tcPr/>
          <w:p>
            <w:pPr>
              <w:pStyle w:val="Compact"/>
              <w:jc w:val="left"/>
            </w:pPr>
            <w:r>
              <w:t xml:space="preserve">Commercial/Office Developments</w:t>
            </w:r>
          </w:p>
        </w:tc>
        <w:tc>
          <w:tcPr/>
          <w:p>
            <w:pPr>
              <w:pStyle w:val="Compact"/>
              <w:jc w:val="left"/>
            </w:pPr>
            <w:r>
              <w:t xml:space="preserve">2,375,000</w:t>
            </w:r>
          </w:p>
        </w:tc>
        <w:tc>
          <w:tcPr/>
          <w:p>
            <w:pPr>
              <w:pStyle w:val="Compact"/>
              <w:jc w:val="left"/>
            </w:pPr>
            <w:r>
              <w:t xml:space="preserve">+9.8%</w:t>
            </w:r>
          </w:p>
        </w:tc>
        <w:tc>
          <w:tcPr/>
          <w:p>
            <w:pPr>
              <w:pStyle w:val="Compact"/>
              <w:jc w:val="left"/>
            </w:pPr>
            <w:r>
              <w:t xml:space="preserve">Eurozone Corporate HQ Expansions</w:t>
            </w:r>
          </w:p>
        </w:tc>
      </w:tr>
      <w:tr>
        <w:tc>
          <w:tcPr/>
          <w:p>
            <w:pPr>
              <w:pStyle w:val="Compact"/>
              <w:jc w:val="left"/>
            </w:pPr>
            <w:r>
              <w:t xml:space="preserve">Sustainable Retrofitting (Belgium Brussels)</w:t>
            </w:r>
          </w:p>
        </w:tc>
        <w:tc>
          <w:tcPr/>
          <w:p>
            <w:pPr>
              <w:pStyle w:val="Compact"/>
              <w:jc w:val="left"/>
            </w:pPr>
            <w:r>
              <w:t xml:space="preserve">1,125,000</w:t>
            </w:r>
          </w:p>
        </w:tc>
        <w:tc>
          <w:tcPr/>
          <w:p>
            <w:pPr>
              <w:pStyle w:val="Compact"/>
              <w:jc w:val="left"/>
            </w:pPr>
            <w:r>
              <w:t xml:space="preserve">+23.5%</w:t>
            </w:r>
          </w:p>
        </w:tc>
        <w:tc>
          <w:tcPr/>
          <w:p>
            <w:pPr>
              <w:pStyle w:val="Compact"/>
              <w:jc w:val="left"/>
            </w:pPr>
            <w:r>
              <w:t xml:space="preserve">Brussels Climate Action Plan Compliance</w:t>
            </w:r>
          </w:p>
        </w:tc>
      </w:tr>
      <w:tr>
        <w:tc>
          <w:tcPr/>
          <w:p>
            <w:pPr>
              <w:pStyle w:val="Compact"/>
              <w:jc w:val="left"/>
            </w:pPr>
            <w:r>
              <w:rPr>
                <w:bCs/>
                <w:b/>
              </w:rPr>
              <w:t xml:space="preserve">Total Sales</w:t>
            </w:r>
          </w:p>
        </w:tc>
        <w:tc>
          <w:tcPr/>
          <w:p>
            <w:pPr>
              <w:pStyle w:val="Compact"/>
              <w:jc w:val="left"/>
            </w:pPr>
            <w:r>
              <w:rPr>
                <w:bCs/>
                <w:b/>
              </w:rPr>
              <w:t xml:space="preserve">5,350,000</w:t>
            </w:r>
          </w:p>
        </w:tc>
        <w:tc>
          <w:tcPr/>
          <w:p>
            <w:pPr>
              <w:pStyle w:val="Compact"/>
              <w:jc w:val="left"/>
            </w:pPr>
            <w:r>
              <w:rPr>
                <w:bCs/>
                <w:b/>
              </w:rPr>
              <w:t xml:space="preserve">+12.7%</w:t>
            </w:r>
          </w:p>
        </w:tc>
        <w:tc>
          <w:tcPr/>
          <w:p>
            <w:pPr>
              <w:pStyle w:val="Compact"/>
              <w:jc w:val="left"/>
            </w:pPr>
            <w:r>
              <w:t xml:space="preserve">Market Share: 18.3% (Brussels)</w:t>
            </w:r>
          </w:p>
        </w:tc>
      </w:tr>
    </w:tbl>
    <w:p>
      <w:pPr>
        <w:pStyle w:val="BodyText"/>
      </w:pPr>
      <w:r>
        <w:t xml:space="preserve">Notably, our Architect team secured three major contracts with EU institutions in the Grand Place district – including the €950,000 redesign of the European Council's heritage building – demonstrating our ability to deliver complex public-sector projects within Belgium Brussels' stringent regulatory environment. Client acquisition costs decreased by 8% as referrals from established partners (including City of Brussels urban planners) now constitute 62% of new business.</w:t>
      </w:r>
    </w:p>
    <w:bookmarkEnd w:id="22"/>
    <w:bookmarkStart w:id="23" w:name="X2a3f55ddeb8eda672519a47434b34d8fb387811"/>
    <w:p>
      <w:pPr>
        <w:pStyle w:val="Heading2"/>
      </w:pPr>
      <w:r>
        <w:t xml:space="preserve">Strategic Projects: Architect Excellence in Action</w:t>
      </w:r>
    </w:p>
    <w:p>
      <w:pPr>
        <w:pStyle w:val="FirstParagraph"/>
      </w:pPr>
      <w:r>
        <w:rPr>
          <w:bCs/>
          <w:b/>
        </w:rPr>
        <w:t xml:space="preserve">The European Innovation Hub (Molenbeek District)</w:t>
      </w:r>
      <w:r>
        <w:t xml:space="preserve">: Our lead Architect team completed this €3.1M mixed-use development featuring zero-carbon design – the first such project approved under Brussels' new "Energy Positive Buildings" ordinance. The project achieved 100% client satisfaction, with the EU Commission citing our Architect's innovative use of recycled materials as a model for future projects across Belgium.</w:t>
      </w:r>
    </w:p>
    <w:p>
      <w:pPr>
        <w:pStyle w:val="BodyText"/>
      </w:pPr>
      <w:r>
        <w:rPr>
          <w:bCs/>
          <w:b/>
        </w:rPr>
        <w:t xml:space="preserve">Brussels Metro Expansion: Sustainable Stations</w:t>
      </w:r>
      <w:r>
        <w:t xml:space="preserve">: Partnering with the Brussels Mobility Authority, our Architect division designed three metro stations with integrated green roofs and solar panels. This €2.4M contract secured through competitive bidding highlights how our deep understanding of Belgium Brussels' urban mobility challenges drives sales growth.</w:t>
      </w:r>
    </w:p>
    <w:p>
      <w:pPr>
        <w:pStyle w:val="BodyText"/>
      </w:pPr>
      <w:r>
        <w:rPr>
          <w:bCs/>
          <w:b/>
        </w:rPr>
        <w:t xml:space="preserve">Historic Preservation Project: Palais de la Cour des Comptes</w:t>
      </w:r>
      <w:r>
        <w:t xml:space="preserve">: Our Architect team executed a meticulous restoration of this 19th-century government building, balancing UNESCO conservation standards with modern accessibility requirements. The project's success generated significant media coverage in Belgian architectural publications, reinforcing our brand as the go-to Architect firm for culturally sensitive work in Belgium Brussels.</w:t>
      </w:r>
    </w:p>
    <w:bookmarkEnd w:id="23"/>
    <w:bookmarkStart w:id="24" w:name="X694ba583a124de0ef7611c54858194325bb86cf"/>
    <w:p>
      <w:pPr>
        <w:pStyle w:val="Heading2"/>
      </w:pPr>
      <w:r>
        <w:t xml:space="preserve">Client Feedback: Why Brussels Chooses Our Architect Services</w:t>
      </w:r>
    </w:p>
    <w:p>
      <w:pPr>
        <w:pStyle w:val="FirstParagraph"/>
      </w:pPr>
      <w:r>
        <w:t xml:space="preserve">Our Q3 client satisfaction survey (n=47) revealed unprecedented results. 94% of Belgium Brussels-based clients rated our Architect team "excellent" for:</w:t>
      </w:r>
      <w:r>
        <w:t xml:space="preserve"> </w:t>
      </w:r>
      <w:r>
        <w:t xml:space="preserve">• Navigating complex municipal permits (100% on-time approval rate)</w:t>
      </w:r>
      <w:r>
        <w:t xml:space="preserve"> </w:t>
      </w:r>
      <w:r>
        <w:t xml:space="preserve">• Integrating EU sustainability standards into local building codes</w:t>
      </w:r>
      <w:r>
        <w:t xml:space="preserve"> </w:t>
      </w:r>
      <w:r>
        <w:t xml:space="preserve">• Cultural sensitivity in historic districts (e.g., preserving Art Nouveau elements while modernizing infrastructure)</w:t>
      </w:r>
      <w:r>
        <w:t xml:space="preserve"> </w:t>
      </w:r>
      <w:r>
        <w:t xml:space="preserve">One client, representing a major EU agency, stated: "Their Architect expertise isn't just about blueprints – they understand the political and social fabric of Belgium Brussels. That's why we renewed our contract for five years."</w:t>
      </w:r>
    </w:p>
    <w:bookmarkEnd w:id="24"/>
    <w:bookmarkStart w:id="25" w:name="X720562a20bfbda3dc976636bdb3927b3dbe3c64"/>
    <w:p>
      <w:pPr>
        <w:pStyle w:val="Heading2"/>
      </w:pPr>
      <w:r>
        <w:t xml:space="preserve">Challenges &amp; Opportunities in the Belgium Brussels Market</w:t>
      </w:r>
    </w:p>
    <w:p>
      <w:pPr>
        <w:pStyle w:val="FirstParagraph"/>
      </w:pPr>
      <w:r>
        <w:t xml:space="preserve">While sales growth is robust, three market-specific challenges require strategic attention:</w:t>
      </w:r>
      <w:r>
        <w:t xml:space="preserve"> </w:t>
      </w:r>
      <w:r>
        <w:t xml:space="preserve">1.</w:t>
      </w:r>
      <w:r>
        <w:t xml:space="preserve"> </w:t>
      </w:r>
      <w:r>
        <w:rPr>
          <w:iCs/>
          <w:i/>
        </w:rPr>
        <w:t xml:space="preserve">Regulatory Fragmentation</w:t>
      </w:r>
      <w:r>
        <w:t xml:space="preserve">: Multiple jurisdictions (Flemish, Walloon, EU) create complex permitting. Our Architect team's new "Belgium Brussels Regulatory Navigator" tool has reduced approval timelines by 30% – a key selling point for future bids.</w:t>
      </w:r>
      <w:r>
        <w:t xml:space="preserve"> </w:t>
      </w:r>
      <w:r>
        <w:t xml:space="preserve">2.</w:t>
      </w:r>
      <w:r>
        <w:t xml:space="preserve"> </w:t>
      </w:r>
      <w:r>
        <w:rPr>
          <w:iCs/>
          <w:i/>
        </w:rPr>
        <w:t xml:space="preserve">Skilled Labor Shortages</w:t>
      </w:r>
      <w:r>
        <w:t xml:space="preserve">: We're addressing this through partnerships with KULeuven and Haute École de Bruxelles for specialized training programs, directly enhancing our Architect team's capabilities in sustainable construction.</w:t>
      </w:r>
      <w:r>
        <w:t xml:space="preserve"> </w:t>
      </w:r>
      <w:r>
        <w:t xml:space="preserve">3.</w:t>
      </w:r>
      <w:r>
        <w:t xml:space="preserve"> </w:t>
      </w:r>
      <w:r>
        <w:rPr>
          <w:iCs/>
          <w:i/>
        </w:rPr>
        <w:t xml:space="preserve">Competitive Pressure</w:t>
      </w:r>
      <w:r>
        <w:t xml:space="preserve">: International firms are targeting Brussels' EU contracts. Our response: deepening local partnerships with Brussels City Architects' Office to position ourselves as the "Belgium Brussels-First" solution.</w:t>
      </w:r>
    </w:p>
    <w:p>
      <w:pPr>
        <w:pStyle w:val="BodyText"/>
      </w:pPr>
      <w:r>
        <w:t xml:space="preserve">The biggest opportunity lies in the €12 billion Brussels 2030 Urban Renewal Program – a massive infrastructure initiative requiring specialized Architect services. We've positioned our firm as a leader through early engagement with the city's sustainable urban development task force.</w:t>
      </w:r>
    </w:p>
    <w:bookmarkEnd w:id="25"/>
    <w:bookmarkStart w:id="26" w:name="strategic-recommendations-for-q4"/>
    <w:p>
      <w:pPr>
        <w:pStyle w:val="Heading2"/>
      </w:pPr>
      <w:r>
        <w:t xml:space="preserve">Strategic Recommendations for Q4</w:t>
      </w:r>
    </w:p>
    <w:p>
      <w:pPr>
        <w:numPr>
          <w:ilvl w:val="0"/>
          <w:numId w:val="1001"/>
        </w:numPr>
        <w:pStyle w:val="Compact"/>
      </w:pPr>
      <w:r>
        <w:rPr>
          <w:bCs/>
          <w:b/>
        </w:rPr>
        <w:t xml:space="preserve">Expand EU Tender Specialization</w:t>
      </w:r>
      <w:r>
        <w:t xml:space="preserve">: Dedicate 20% of our Architect team to EU procurement expertise, targeting the €5.3M "Brussels Green District" project launch in November.</w:t>
      </w:r>
    </w:p>
    <w:p>
      <w:pPr>
        <w:numPr>
          <w:ilvl w:val="0"/>
          <w:numId w:val="1001"/>
        </w:numPr>
        <w:pStyle w:val="Compact"/>
      </w:pPr>
      <w:r>
        <w:rPr>
          <w:bCs/>
          <w:b/>
        </w:rPr>
        <w:t xml:space="preserve">Launch Brussels Sustainability Certification</w:t>
      </w:r>
      <w:r>
        <w:t xml:space="preserve">: Develop a proprietary framework (to be co-branded with Brussels Environment Department) for projects meeting all local and EU sustainability thresholds – a unique differentiator for our Architect services.</w:t>
      </w:r>
    </w:p>
    <w:p>
      <w:pPr>
        <w:numPr>
          <w:ilvl w:val="0"/>
          <w:numId w:val="1001"/>
        </w:numPr>
        <w:pStyle w:val="Compact"/>
      </w:pPr>
      <w:r>
        <w:rPr>
          <w:bCs/>
          <w:b/>
        </w:rPr>
        <w:t xml:space="preserve">Local Talent Pipeline Investment</w:t>
      </w:r>
      <w:r>
        <w:t xml:space="preserve">: Allocate €150k to establish an "Architect in Residence" program at the Royal Academy of Fine Arts (KASK) in Brussels, creating early talent acquisition channels specific to Belgium's architectural needs.</w:t>
      </w:r>
    </w:p>
    <w:bookmarkEnd w:id="26"/>
    <w:bookmarkStart w:id="27" w:name="X81e6c40c52f6c6f3f76c90645e402fa760fd6df"/>
    <w:p>
      <w:pPr>
        <w:pStyle w:val="Heading2"/>
      </w:pPr>
      <w:r>
        <w:t xml:space="preserve">Conclusion: Architecting Belgium Brussels' Future</w:t>
      </w:r>
    </w:p>
    <w:p>
      <w:pPr>
        <w:pStyle w:val="FirstParagraph"/>
      </w:pPr>
      <w:r>
        <w:t xml:space="preserve">This Sales Report confirms that our Architect services have become strategically embedded within the economic and cultural infrastructure of Belgium Brussels. We've moved beyond being mere service providers to becoming indispensable partners in shaping the city's sustainable future. The 12.7% sales growth reflects not just commercial success, but recognition of our unique ability to deliver architectural excellence within Brussels' complex urban ecosystem.</w:t>
      </w:r>
    </w:p>
    <w:p>
      <w:pPr>
        <w:pStyle w:val="BodyText"/>
      </w:pPr>
      <w:r>
        <w:t xml:space="preserve">As we enter Q4, our focus intensifies on scaling this model across all Belgium Brussels districts while maintaining the high-touch client relationships that define our success. The data is clear: when clients require an Architect who understands both the historical depth of Belgium and the forward momentum of Brussels' modern ambitions, they consistently choose our firm. This Sales Report isn't merely a summary – it's proof that architectural expertise, when deeply rooted in local context, drives measurable commercial impact in Europe's most dynamic capital city.</w:t>
      </w:r>
    </w:p>
    <w:p>
      <w:pPr>
        <w:pStyle w:val="BodyText"/>
      </w:pPr>
      <w:r>
        <w:rPr>
          <w:iCs/>
          <w:i/>
        </w:rPr>
        <w:t xml:space="preserve">Prepared by: Global Architecture Solutions | Brussels Office</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Architect Services in Belgium Brussels</dc:title>
  <dc:creator/>
  <dc:language>en</dc:language>
  <cp:keywords/>
  <dcterms:created xsi:type="dcterms:W3CDTF">2025-12-12T06:18:16Z</dcterms:created>
  <dcterms:modified xsi:type="dcterms:W3CDTF">2025-12-12T06:18:16Z</dcterms:modified>
</cp:coreProperties>
</file>

<file path=docProps/custom.xml><?xml version="1.0" encoding="utf-8"?>
<Properties xmlns="http://schemas.openxmlformats.org/officeDocument/2006/custom-properties" xmlns:vt="http://schemas.openxmlformats.org/officeDocument/2006/docPropsVTypes"/>
</file>