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Canada</w:t>
      </w:r>
      <w:r>
        <w:t xml:space="preserve"> </w:t>
      </w:r>
      <w:r>
        <w:t xml:space="preserve">Montreal</w:t>
      </w:r>
    </w:p>
    <w:bookmarkStart w:id="28" w:name="X04b71fbf2f01102d1cc893f653a6967e1fec914"/>
    <w:p>
      <w:pPr>
        <w:pStyle w:val="Heading1"/>
      </w:pPr>
      <w:r>
        <w:t xml:space="preserve">Annual Sales Report: Architectural Excellence and Market Growth in Canada Montreal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Presentation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comprehensive Sales Report details the performance of our architectural services firm across the vibrant market of Canada Montreal. As a leading design practice deeply embedded in Quebec's architectural landscape, we have achieved remarkable growth in project acquisition, client satisfaction, and market share. The report confirms that strategic focus on Montreal's unique urban challenges—combined with innovative design solutions—has positioned our Architect team as a benchmark for excellence in the Canadian architectural industry. With 27% year-over-year revenue growth and a 41% increase in new commercial project contracts, this Sales Report underscores Montreal's critical role as our flagship market within Canada.</w:t>
      </w:r>
    </w:p>
    <w:bookmarkEnd w:id="20"/>
    <w:bookmarkStart w:id="21" w:name="Xac0316324ab44ba1d6db144fa9315507998f3f8"/>
    <w:p>
      <w:pPr>
        <w:pStyle w:val="Heading2"/>
      </w:pPr>
      <w:r>
        <w:t xml:space="preserve">Market Context: Montreal's Architectural Landscape</w:t>
      </w:r>
    </w:p>
    <w:p>
      <w:pPr>
        <w:pStyle w:val="FirstParagraph"/>
      </w:pPr>
      <w:r>
        <w:t xml:space="preserve">Montreal stands as a dynamic epicenter for architectural innovation in Canada, where historic preservation meets cutting-edge sustainable design. The city's 2023 Urban Development Plan prioritizes mixed-use projects, green infrastructure, and culturally sensitive renovations—aligning perfectly with our firm's core competencies. As an Architect specializing in adaptive reuse and net-zero energy buildings, we have leveraged Montreal's municipal incentives (including the Quebec Green Building Tax Credit) to capture 18% of all high-value commercial projects in the city center. This strategic positioning within Canada Montreal has not only driven sales but also cemented our reputation as a trusted partner for municipal authorities and private developers alike.</w:t>
      </w:r>
    </w:p>
    <w:bookmarkEnd w:id="21"/>
    <w:bookmarkStart w:id="22" w:name="sales-performance-highlights"/>
    <w:p>
      <w:pPr>
        <w:pStyle w:val="Heading2"/>
      </w:pPr>
      <w:r>
        <w:t xml:space="preserve">Sales Performance Highlights</w:t>
      </w:r>
    </w:p>
    <w:p>
      <w:pPr>
        <w:pStyle w:val="FirstParagraph"/>
      </w:pPr>
      <w:r>
        <w:rPr>
          <w:bCs/>
          <w:b/>
        </w:rPr>
        <w:t xml:space="preserve">Revenue Growth:</w:t>
      </w:r>
      <w:r>
        <w:t xml:space="preserve"> </w:t>
      </w:r>
      <w:r>
        <w:t xml:space="preserve">Total revenue reached $14.8M CAD (up 27% YoY), with Montreal accounting for 68% of all project deliveries. The Architect team secured seven major contracts exceeding $1M each, including the $3.2M renovation of the historic Bell Telephone Building in Old Montreal and the LEED Platinum-certified Concordia University Innovation Hub.</w:t>
      </w:r>
    </w:p>
    <w:p>
      <w:pPr>
        <w:pStyle w:val="BodyText"/>
      </w:pPr>
      <w:r>
        <w:rPr>
          <w:bCs/>
          <w:b/>
        </w:rPr>
        <w:t xml:space="preserve">Client Acquisition:</w:t>
      </w:r>
      <w:r>
        <w:t xml:space="preserve"> </w:t>
      </w:r>
      <w:r>
        <w:t xml:space="preserve">We added 42 new clients across Montreal's key sectors: 31% in commercial real estate, 28% in institutional (healthcare/education), and 19% in luxury residential. Notable wins include partnerships with major firms like Gestion Immobilière de Montréal (GIM) for their downtown portfolio and the City of Montreal's public housing renewal initiative.</w:t>
      </w:r>
    </w:p>
    <w:p>
      <w:pPr>
        <w:pStyle w:val="BodyText"/>
      </w:pPr>
      <w:r>
        <w:rPr>
          <w:bCs/>
          <w:b/>
        </w:rPr>
        <w:t xml:space="preserve">Market Share Expansion:</w:t>
      </w:r>
      <w:r>
        <w:t xml:space="preserve"> </w:t>
      </w:r>
      <w:r>
        <w:t xml:space="preserve">Our sales pipeline now represents 14.7% of Montreal's total architectural services market—up from 8.2% in 2021. This growth is attributed to our specialized knowledge of Quebec's building code (CSA A37), cultural sensitivity requirements, and bilingual project management capabilities essential for success in Canada Montreal.</w:t>
      </w:r>
    </w:p>
    <w:bookmarkEnd w:id="22"/>
    <w:bookmarkStart w:id="23" w:name="key-sales-strategies-driving-success"/>
    <w:p>
      <w:pPr>
        <w:pStyle w:val="Heading2"/>
      </w:pPr>
      <w:r>
        <w:t xml:space="preserve">Key Sales Strategies Driving Success</w:t>
      </w:r>
    </w:p>
    <w:p>
      <w:pPr>
        <w:pStyle w:val="FirstParagraph"/>
      </w:pPr>
      <w:r>
        <w:rPr>
          <w:bCs/>
          <w:b/>
        </w:rPr>
        <w:t xml:space="preserve">Hyper-Local Market Intelligence:</w:t>
      </w:r>
      <w:r>
        <w:t xml:space="preserve"> </w:t>
      </w:r>
      <w:r>
        <w:t xml:space="preserve">Our Architect sales team maintains constant engagement with Montreal's municipal planning departments. By attending all 17 quarterly Urban Development Committee meetings, we identified emerging opportunities like the $500M Place des Arts redevelopment, securing a lead role in the design phase.</w:t>
      </w:r>
    </w:p>
    <w:p>
      <w:pPr>
        <w:pStyle w:val="BodyText"/>
      </w:pPr>
      <w:r>
        <w:rPr>
          <w:bCs/>
          <w:b/>
        </w:rPr>
        <w:t xml:space="preserve">Cultural Integration Framework:</w:t>
      </w:r>
      <w:r>
        <w:t xml:space="preserve"> </w:t>
      </w:r>
      <w:r>
        <w:t xml:space="preserve">Recognizing Quebec's unique socio-architectural identity, we developed a "Montreal Design Protocol" that integrates French Canadian heritage elements into modern structures. This framework directly contributed to winning 79% of our municipal contracts, as highlighted in the Sales Report.</w:t>
      </w:r>
    </w:p>
    <w:p>
      <w:pPr>
        <w:pStyle w:val="BodyText"/>
      </w:pPr>
      <w:r>
        <w:rPr>
          <w:bCs/>
          <w:b/>
        </w:rPr>
        <w:t xml:space="preserve">Digital Sales Enablement:</w:t>
      </w:r>
      <w:r>
        <w:t xml:space="preserve"> </w:t>
      </w:r>
      <w:r>
        <w:t xml:space="preserve">Implementation of our Montreal-specific CRM system—which tracks Quebec government procurement cycles and building permit timelines—reduced sales cycle length by 32%. This tool, tailored for Canada's architectural market, enabled our Architect team to respond to RFPs within 72 hours (vs. industry average of 14 days).</w:t>
      </w:r>
    </w:p>
    <w:bookmarkEnd w:id="23"/>
    <w:bookmarkStart w:id="24" w:name="challenges-and-adaptive-solutions"/>
    <w:p>
      <w:pPr>
        <w:pStyle w:val="Heading2"/>
      </w:pPr>
      <w:r>
        <w:t xml:space="preserve">Challenges and Adaptive Solutions</w:t>
      </w:r>
    </w:p>
    <w:p>
      <w:pPr>
        <w:pStyle w:val="FirstParagraph"/>
      </w:pPr>
      <w:r>
        <w:t xml:space="preserve">Montreal's competitive landscape presented notable challenges in 2023, including:</w:t>
      </w:r>
    </w:p>
    <w:p>
      <w:pPr>
        <w:numPr>
          <w:ilvl w:val="0"/>
          <w:numId w:val="1001"/>
        </w:numPr>
        <w:pStyle w:val="Compact"/>
      </w:pPr>
      <w:r>
        <w:rPr>
          <w:bCs/>
          <w:b/>
        </w:rPr>
        <w:t xml:space="preserve">Talent Shortage:</w:t>
      </w:r>
      <w:r>
        <w:t xml:space="preserve"> </w:t>
      </w:r>
      <w:r>
        <w:t xml:space="preserve">Montreal faced a 15% deficit in senior Architect personnel. Our solution: Partnered with École d'architecture de Montréal to establish an internship pipeline, reducing recruitment time by 40%.</w:t>
      </w:r>
    </w:p>
    <w:p>
      <w:pPr>
        <w:numPr>
          <w:ilvl w:val="0"/>
          <w:numId w:val="1001"/>
        </w:numPr>
        <w:pStyle w:val="Compact"/>
      </w:pPr>
      <w:r>
        <w:rPr>
          <w:bCs/>
          <w:b/>
        </w:rPr>
        <w:t xml:space="preserve">Regulatory Complexity:</w:t>
      </w:r>
      <w:r>
        <w:t xml:space="preserve"> </w:t>
      </w:r>
      <w:r>
        <w:t xml:space="preserve">Quebec's building code updates created scope ambiguities. We addressed this by creating a dedicated compliance unit that now processes permits 22% faster than competitors.</w:t>
      </w:r>
    </w:p>
    <w:p>
      <w:pPr>
        <w:numPr>
          <w:ilvl w:val="0"/>
          <w:numId w:val="1001"/>
        </w:numPr>
        <w:pStyle w:val="Compact"/>
      </w:pPr>
      <w:r>
        <w:rPr>
          <w:bCs/>
          <w:b/>
        </w:rPr>
        <w:t xml:space="preserve">Economic Pressures:</w:t>
      </w:r>
      <w:r>
        <w:t xml:space="preserve"> </w:t>
      </w:r>
      <w:r>
        <w:t xml:space="preserve">Construction cost volatility impacted client budgets. Our Architect sales team pivoted to value-engineering workshops, preserving 93% of contracted projects despite material inflation.</w:t>
      </w:r>
    </w:p>
    <w:bookmarkEnd w:id="24"/>
    <w:bookmarkStart w:id="25" w:name="client-satisfaction-retention-metrics"/>
    <w:p>
      <w:pPr>
        <w:pStyle w:val="Heading2"/>
      </w:pPr>
      <w:r>
        <w:t xml:space="preserve">Client Satisfaction &amp; Retention Metrics</w:t>
      </w:r>
    </w:p>
    <w:p>
      <w:pPr>
        <w:pStyle w:val="FirstParagraph"/>
      </w:pPr>
      <w:r>
        <w:t xml:space="preserve">Montreal clients awarded us a 4.9/5 average satisfaction rating (vs. industry 4.2), directly linking to our Architect team's on-site presence at all project phases. The Sales Report reveals:</w:t>
      </w:r>
    </w:p>
    <w:p>
      <w:pPr>
        <w:numPr>
          <w:ilvl w:val="0"/>
          <w:numId w:val="1002"/>
        </w:numPr>
        <w:pStyle w:val="Compact"/>
      </w:pPr>
      <w:r>
        <w:t xml:space="preserve">87% of Montreal clients renewed contracts</w:t>
      </w:r>
    </w:p>
    <w:p>
      <w:pPr>
        <w:numPr>
          <w:ilvl w:val="0"/>
          <w:numId w:val="1002"/>
        </w:numPr>
        <w:pStyle w:val="Compact"/>
      </w:pPr>
      <w:r>
        <w:t xml:space="preserve">62% of new business came through referrals (highest in Canada Montreal for firms under $50M revenue)</w:t>
      </w:r>
    </w:p>
    <w:p>
      <w:pPr>
        <w:numPr>
          <w:ilvl w:val="0"/>
          <w:numId w:val="1002"/>
        </w:numPr>
        <w:pStyle w:val="Compact"/>
      </w:pPr>
      <w:r>
        <w:t xml:space="preserve">Zero client disputes related to design execution—attributed to our pre-construction "Design Assurance" process</w:t>
      </w:r>
    </w:p>
    <w:bookmarkEnd w:id="25"/>
    <w:bookmarkStart w:id="26" w:name="X755d447ee09133e704140dad86c44098f734b3a"/>
    <w:p>
      <w:pPr>
        <w:pStyle w:val="Heading2"/>
      </w:pPr>
      <w:r>
        <w:t xml:space="preserve">Future Outlook: Strategic Growth in Canada Montreal</w:t>
      </w:r>
    </w:p>
    <w:p>
      <w:pPr>
        <w:pStyle w:val="FirstParagraph"/>
      </w:pPr>
      <w:r>
        <w:t xml:space="preserve">Based on the 2023 Sales Report, we project:</w:t>
      </w:r>
    </w:p>
    <w:p>
      <w:pPr>
        <w:numPr>
          <w:ilvl w:val="0"/>
          <w:numId w:val="1003"/>
        </w:numPr>
        <w:pStyle w:val="Compact"/>
      </w:pPr>
      <w:r>
        <w:rPr>
          <w:bCs/>
          <w:b/>
        </w:rPr>
        <w:t xml:space="preserve">Revenue Expansion:</w:t>
      </w:r>
      <w:r>
        <w:t xml:space="preserve"> </w:t>
      </w:r>
      <w:r>
        <w:t xml:space="preserve">30% growth for 2024, driven by Montreal's new transit-oriented development zones (including the $8B REM light rail corridor).</w:t>
      </w:r>
    </w:p>
    <w:p>
      <w:pPr>
        <w:numPr>
          <w:ilvl w:val="0"/>
          <w:numId w:val="1003"/>
        </w:numPr>
        <w:pStyle w:val="Compact"/>
      </w:pPr>
      <w:r>
        <w:rPr>
          <w:bCs/>
          <w:b/>
        </w:rPr>
        <w:t xml:space="preserve">New Service Lines:</w:t>
      </w:r>
      <w:r>
        <w:t xml:space="preserve"> </w:t>
      </w:r>
      <w:r>
        <w:t xml:space="preserve">Launching "Montreal Heritage Conservation" division to capitalize on Quebec's $15M annual heritage preservation fund.</w:t>
      </w:r>
    </w:p>
    <w:p>
      <w:pPr>
        <w:numPr>
          <w:ilvl w:val="0"/>
          <w:numId w:val="1003"/>
        </w:numPr>
        <w:pStyle w:val="Compact"/>
      </w:pPr>
      <w:r>
        <w:rPr>
          <w:bCs/>
          <w:b/>
        </w:rPr>
        <w:t xml:space="preserve">Market Diversification:</w:t>
      </w:r>
      <w:r>
        <w:t xml:space="preserve"> </w:t>
      </w:r>
      <w:r>
        <w:t xml:space="preserve">Entering the rapidly growing Montreal luxury residential market (38% YoY growth) with our new "Urban Oasis" design framework.</w:t>
      </w:r>
    </w:p>
    <w:p>
      <w:pPr>
        <w:pStyle w:val="FirstParagraph"/>
      </w:pPr>
      <w:r>
        <w:t xml:space="preserve">Our success in Canada Montreal demonstrates that specialized architectural expertise, deeply rooted in local context, is the ultimate sales differentiator. As this Sales Report confirms, the future of architectural business in Canada lies not merely in technical skill—but in understanding Montreal's unique rhythm: its blend of European tradition and North American innovation. We remain committed to being the Architect partner that transforms Montreal's urban vision into built reality.</w:t>
      </w:r>
    </w:p>
    <w:bookmarkEnd w:id="26"/>
    <w:bookmarkStart w:id="27" w:name="conclusion"/>
    <w:p>
      <w:pPr>
        <w:pStyle w:val="Heading2"/>
      </w:pPr>
      <w:r>
        <w:t xml:space="preserve">Conclusion</w:t>
      </w:r>
    </w:p>
    <w:p>
      <w:pPr>
        <w:pStyle w:val="FirstParagraph"/>
      </w:pPr>
      <w:r>
        <w:t xml:space="preserve">This Sales Report affirms that our architectural practice has not only thrived in Canada Montreal but has become a catalyst for the city's evolving architectural identity. By centering our sales strategy on Montreal's cultural fabric, regulatory landscape, and economic priorities, we've achieved results exceeding industry benchmarks while strengthening our position as leaders in Canadian architecture. The path forward requires doubling down on localized expertise—the very foundation that turns 'Architect' from a title into a trusted market force within Canada Montreal.</w:t>
      </w:r>
    </w:p>
    <w:p>
      <w:pPr>
        <w:pStyle w:val="BodyText"/>
      </w:pPr>
      <w:r>
        <w:rPr>
          <w:bCs/>
          <w:b/>
        </w:rPr>
        <w:t xml:space="preserve">Prepared by:</w:t>
      </w:r>
      <w:r>
        <w:t xml:space="preserve"> </w:t>
      </w:r>
      <w:r>
        <w:t xml:space="preserve">Strategic Sales Leadership, Montreal Office</w:t>
      </w:r>
      <w:r>
        <w:br/>
      </w:r>
      <w:r>
        <w:rPr>
          <w:bCs/>
          <w:b/>
        </w:rPr>
        <w:t xml:space="preserve">Signature:</w:t>
      </w:r>
      <w:r>
        <w:t xml:space="preserve"> </w:t>
      </w:r>
      <w:r>
        <w:t xml:space="preserve">[Digital Signature]</w:t>
      </w:r>
      <w:r>
        <w:br/>
      </w:r>
      <w:r>
        <w:rPr>
          <w:iCs/>
          <w:i/>
        </w:rPr>
        <w:t xml:space="preserve">This Sales Report is confidential to the Architect firm and internal stakeholders. Distribution requires written authorization.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Architectural Services in Canada Montreal</dc:title>
  <dc:creator/>
  <dc:language>en</dc:language>
  <cp:keywords/>
  <dcterms:created xsi:type="dcterms:W3CDTF">2026-07-23T01:55:14Z</dcterms:created>
  <dcterms:modified xsi:type="dcterms:W3CDTF">2026-07-23T01:55:14Z</dcterms:modified>
</cp:coreProperties>
</file>

<file path=docProps/custom.xml><?xml version="1.0" encoding="utf-8"?>
<Properties xmlns="http://schemas.openxmlformats.org/officeDocument/2006/custom-properties" xmlns:vt="http://schemas.openxmlformats.org/officeDocument/2006/docPropsVTypes"/>
</file>