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in</w:t>
      </w:r>
      <w:r>
        <w:t xml:space="preserve"> </w:t>
      </w:r>
      <w:r>
        <w:t xml:space="preserve">Canada</w:t>
      </w:r>
      <w:r>
        <w:t xml:space="preserve"> </w:t>
      </w:r>
      <w:r>
        <w:t xml:space="preserve">Toronto</w:t>
      </w:r>
    </w:p>
    <w:bookmarkStart w:id="26" w:name="X60069a1b45bad4d1ac3f03bfc53ab207e7bd213"/>
    <w:p>
      <w:pPr>
        <w:pStyle w:val="Heading1"/>
      </w:pPr>
      <w:r>
        <w:t xml:space="preserve">Q3 2024 Sales Report: Architect Services in Canada Toronto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Strategy Department, [Architect Firm Name]</w:t>
      </w:r>
    </w:p>
    <w:bookmarkStart w:id="20" w:name="executive-summary"/>
    <w:p>
      <w:pPr>
        <w:pStyle w:val="Heading2"/>
      </w:pPr>
      <w:r>
        <w:t xml:space="preserve">Executive Summary</w:t>
      </w:r>
    </w:p>
    <w:p>
      <w:pPr>
        <w:pStyle w:val="FirstParagraph"/>
      </w:pPr>
      <w:r>
        <w:t xml:space="preserve">This comprehensive Sales Report details the performance of our Architect services within the Canada Toronto market during Q3 2024. The quarter demonstrated robust growth, driven by strategic positioning in Toronto’s dynamic real estate sector and heightened demand for innovative, sustainable architectural solutions. Our team successfully secured 23 new projects valued at $14.8M CAD, representing a 15% year-over-year increase in sales revenue and solidifying our leadership position among top-tier Architect firms operating across Canada Toronto. This report analyzes key sales metrics, market trends, client feedback, and actionable insights to inform future growth strategies within the competitive Canadian architectural landscape.</w:t>
      </w:r>
    </w:p>
    <w:bookmarkEnd w:id="20"/>
    <w:bookmarkStart w:id="21" w:name="key-sales-metrics-q3-2024"/>
    <w:p>
      <w:pPr>
        <w:pStyle w:val="Heading2"/>
      </w:pPr>
      <w:r>
        <w:t xml:space="preserve">Key Sales Metrics: Q3 2024</w:t>
      </w:r>
    </w:p>
    <w:p>
      <w:pPr>
        <w:pStyle w:val="FirstParagraph"/>
      </w:pPr>
      <w:r>
        <w:t xml:space="preserve">Metric</w:t>
      </w:r>
    </w:p>
    <w:p>
      <w:pPr>
        <w:pStyle w:val="BodyText"/>
      </w:pPr>
      <w:r>
        <w:t xml:space="preserve">Q3 2024 Value</w:t>
      </w:r>
    </w:p>
    <w:p>
      <w:pPr>
        <w:pStyle w:val="BodyText"/>
      </w:pPr>
      <w:r>
        <w:t xml:space="preserve">Q3 2023 Value</w:t>
      </w:r>
    </w:p>
    <w:p>
      <w:pPr>
        <w:pStyle w:val="BodyText"/>
      </w:pPr>
      <w:r>
        <w:t xml:space="preserve">YoY Change</w:t>
      </w:r>
    </w:p>
    <w:p>
      <w:pPr>
        <w:pStyle w:val="BodyText"/>
      </w:pPr>
      <w:r>
        <w:t xml:space="preserve">New Project Wins (Total)</w:t>
      </w:r>
    </w:p>
    <w:p>
      <w:pPr>
        <w:pStyle w:val="BodyText"/>
      </w:pPr>
      <w:r>
        <w:t xml:space="preserve">23 Projects</w:t>
      </w:r>
    </w:p>
    <w:p>
      <w:pPr>
        <w:pStyle w:val="BodyText"/>
      </w:pPr>
      <w:r>
        <w:t xml:space="preserve">18 Projects</w:t>
      </w:r>
    </w:p>
    <w:p>
      <w:pPr>
        <w:pStyle w:val="BodyText"/>
      </w:pPr>
      <w:r>
        <w:t xml:space="preserve">+27.8%</w:t>
      </w:r>
    </w:p>
    <w:p>
      <w:pPr>
        <w:pStyle w:val="BodyText"/>
      </w:pPr>
      <w:r>
        <w:t xml:space="preserve">Total Project Value (CAD)</w:t>
      </w:r>
    </w:p>
    <w:p>
      <w:pPr>
        <w:pStyle w:val="BodyText"/>
      </w:pPr>
      <w:r>
        <w:t xml:space="preserve">$14,800,000</w:t>
      </w:r>
    </w:p>
    <w:p>
      <w:pPr>
        <w:pStyle w:val="BodyText"/>
      </w:pPr>
      <w:r>
        <w:t xml:space="preserve">$12,955,000</w:t>
      </w:r>
    </w:p>
    <w:p>
      <w:pPr>
        <w:pStyle w:val="BodyText"/>
      </w:pPr>
      <w:r>
        <w:t xml:space="preserve">+14.3%</w:t>
      </w:r>
    </w:p>
    <w:p>
      <w:pPr>
        <w:pStyle w:val="BodyText"/>
      </w:pPr>
      <w:r>
        <w:t xml:space="preserve">Avg. Project Size (CAD)</w:t>
      </w:r>
    </w:p>
    <w:p>
      <w:pPr>
        <w:pStyle w:val="BodyText"/>
      </w:pPr>
      <w:r>
        <w:t xml:space="preserve">$643,478</w:t>
      </w:r>
    </w:p>
    <w:p>
      <w:pPr>
        <w:pStyle w:val="BodyText"/>
      </w:pPr>
      <w:r>
        <w:t xml:space="preserve">$719,722</w:t>
      </w:r>
    </w:p>
    <w:p>
      <w:pPr>
        <w:pStyle w:val="BodyText"/>
      </w:pPr>
      <w:r>
        <w:t xml:space="preserve">Our Architect team’s focus on high-value residential and commercial developments in Canada Toronto proved particularly effective. Notable wins include the "Riverfront Residences" (a 35-unit mixed-use project in downtown Toronto), the "Greenway Corporate Campus" for a major fintech firm (Phase 1: $4.2M CAD), and three significant heritage restoration projects for municipalities within the Greater Toronto Area (GTA). These projects align with Toronto’s strategic growth priorities, including affordable housing initiatives and climate-resilient infrastructure, demonstrating our deep understanding of local market needs.</w:t>
      </w:r>
    </w:p>
    <w:bookmarkEnd w:id="21"/>
    <w:bookmarkStart w:id="22" w:name="Xd5b499a56aae204cce9282feb18ae6d83ff5972"/>
    <w:p>
      <w:pPr>
        <w:pStyle w:val="Heading2"/>
      </w:pPr>
      <w:r>
        <w:t xml:space="preserve">Market Analysis: Canada Toronto Architect Demand</w:t>
      </w:r>
    </w:p>
    <w:p>
      <w:pPr>
        <w:pStyle w:val="FirstParagraph"/>
      </w:pPr>
      <w:r>
        <w:t xml:space="preserve">The Canada Toronto architectural market remains exceptionally strong, fueled by population growth (exceeding 3.1M residents in the city proper), aggressive development targets set by the City of Toronto’s Official Plan, and significant federal/provincial investment in sustainable infrastructure. Our Sales Report data confirms a 22% increase in inquiries from commercial developers seeking Architect services for projects under $5M CAD – a segment where our firm has gained significant market share through competitive pricing and rapid proposal turnaround times.</w:t>
      </w:r>
    </w:p>
    <w:p>
      <w:pPr>
        <w:pStyle w:val="BodyText"/>
      </w:pPr>
      <w:r>
        <w:t xml:space="preserve">Key drivers of demand identified include:</w:t>
      </w:r>
    </w:p>
    <w:p>
      <w:pPr>
        <w:numPr>
          <w:ilvl w:val="0"/>
          <w:numId w:val="1001"/>
        </w:numPr>
        <w:pStyle w:val="Compact"/>
      </w:pPr>
      <w:r>
        <w:rPr>
          <w:bCs/>
          <w:b/>
        </w:rPr>
        <w:t xml:space="preserve">Sustainability Mandates:</w:t>
      </w:r>
      <w:r>
        <w:t xml:space="preserve"> </w:t>
      </w:r>
      <w:r>
        <w:t xml:space="preserve">Toronto’s Green Standard bylaw (requiring LEED Silver or equivalent for new developments &gt;100,000 sq. ft.) has created a surge in demand for Architect expertise in energy modeling and passive design strategies.</w:t>
      </w:r>
    </w:p>
    <w:p>
      <w:pPr>
        <w:numPr>
          <w:ilvl w:val="0"/>
          <w:numId w:val="1001"/>
        </w:numPr>
        <w:pStyle w:val="Compact"/>
      </w:pPr>
      <w:r>
        <w:rPr>
          <w:bCs/>
          <w:b/>
        </w:rPr>
        <w:t xml:space="preserve">Affordable Housing Crisis:</w:t>
      </w:r>
      <w:r>
        <w:t xml:space="preserve"> </w:t>
      </w:r>
      <w:r>
        <w:t xml:space="preserve">Provincial funding programs targeting 25,000+ new affordable units by 2031 have generated substantial opportunities for Architects specializing in modular construction and cost-efficient design.</w:t>
      </w:r>
    </w:p>
    <w:p>
      <w:pPr>
        <w:numPr>
          <w:ilvl w:val="0"/>
          <w:numId w:val="1001"/>
        </w:numPr>
        <w:pStyle w:val="Compact"/>
      </w:pPr>
      <w:r>
        <w:rPr>
          <w:bCs/>
          <w:b/>
        </w:rPr>
        <w:t xml:space="preserve">Infrastructure Investment:</w:t>
      </w:r>
      <w:r>
        <w:t xml:space="preserve"> </w:t>
      </w:r>
      <w:r>
        <w:t xml:space="preserve">Major projects like the Ontario Line transit expansion and revitalization of areas like St. Lawrence Market have increased demand for Architect services in civic and public infrastructure development across Canada Toronto.</w:t>
      </w:r>
    </w:p>
    <w:bookmarkEnd w:id="22"/>
    <w:bookmarkStart w:id="23" w:name="client-feedback-relationship-strength"/>
    <w:p>
      <w:pPr>
        <w:pStyle w:val="Heading2"/>
      </w:pPr>
      <w:r>
        <w:t xml:space="preserve">Client Feedback &amp; Relationship Strength</w:t>
      </w:r>
    </w:p>
    <w:p>
      <w:pPr>
        <w:pStyle w:val="FirstParagraph"/>
      </w:pPr>
      <w:r>
        <w:t xml:space="preserve">Client satisfaction scores for our Architect services averaged 94% in Q3, with repeat business accounting for 41% of new project value. Key client testimonials highlight our ability to navigate Toronto’s complex regulatory environment and deliver on sustainability goals:</w:t>
      </w:r>
    </w:p>
    <w:p>
      <w:pPr>
        <w:pStyle w:val="BlockText"/>
      </w:pPr>
      <w:r>
        <w:rPr>
          <w:iCs/>
          <w:i/>
        </w:rPr>
        <w:t xml:space="preserve">"Partnering with [Architect Firm Name] was seamless. Their deep knowledge of Toronto’s zoning bylaws and commitment to achieving our net-zero targets made them indispensable for the Riverfront Residences project. They understood Canada's environmental standards better than any Architect we've worked with."</w:t>
      </w:r>
      <w:r>
        <w:br/>
      </w:r>
      <w:r>
        <w:rPr>
          <w:bCs/>
          <w:b/>
        </w:rPr>
        <w:t xml:space="preserve">— VP of Development, [Major Toronto Real Estate Developer]</w:t>
      </w:r>
    </w:p>
    <w:p>
      <w:pPr>
        <w:pStyle w:val="BlockText"/>
      </w:pPr>
      <w:r>
        <w:rPr>
          <w:iCs/>
          <w:i/>
        </w:rPr>
        <w:t xml:space="preserve">"Their Architect team provided innovative solutions for our heritage building renovation that preserved historical integrity while modernizing infrastructure. This level of expertise is rare in the Canada Toronto market."</w:t>
      </w:r>
      <w:r>
        <w:br/>
      </w:r>
      <w:r>
        <w:rPr>
          <w:bCs/>
          <w:b/>
        </w:rPr>
        <w:t xml:space="preserve">— City Planning Manager, [Toronto Municipal Department]</w:t>
      </w:r>
    </w:p>
    <w:bookmarkEnd w:id="23"/>
    <w:bookmarkStart w:id="24" w:name="strategic-recommendations-for-q4-2024"/>
    <w:p>
      <w:pPr>
        <w:pStyle w:val="Heading2"/>
      </w:pPr>
      <w:r>
        <w:t xml:space="preserve">Strategic Recommendations for Q4 2024</w:t>
      </w:r>
    </w:p>
    <w:p>
      <w:pPr>
        <w:pStyle w:val="FirstParagraph"/>
      </w:pPr>
      <w:r>
        <w:t xml:space="preserve">Based on this Sales Report analysis, we recommend the following actions to capitalize on Toronto's growth trajectory:</w:t>
      </w:r>
    </w:p>
    <w:p>
      <w:pPr>
        <w:numPr>
          <w:ilvl w:val="0"/>
          <w:numId w:val="1002"/>
        </w:numPr>
        <w:pStyle w:val="Compact"/>
      </w:pPr>
      <w:r>
        <w:rPr>
          <w:bCs/>
          <w:b/>
        </w:rPr>
        <w:t xml:space="preserve">Expand Sustainable Design Division:</w:t>
      </w:r>
      <w:r>
        <w:t xml:space="preserve"> </w:t>
      </w:r>
      <w:r>
        <w:t xml:space="preserve">Allocate resources to deepen our Architect expertise in Passive House standards and adaptive reuse, directly responding to Toronto’s regulatory push and market demand.</w:t>
      </w:r>
    </w:p>
    <w:p>
      <w:pPr>
        <w:numPr>
          <w:ilvl w:val="0"/>
          <w:numId w:val="1002"/>
        </w:numPr>
        <w:pStyle w:val="Compact"/>
      </w:pPr>
      <w:r>
        <w:rPr>
          <w:bCs/>
          <w:b/>
        </w:rPr>
        <w:t xml:space="preserve">Pursue Municipal Partnerships:</w:t>
      </w:r>
      <w:r>
        <w:t xml:space="preserve"> </w:t>
      </w:r>
      <w:r>
        <w:t xml:space="preserve">Target 5+ new contracts with City of Toronto departments (e.g., Parks, Community Housing) for public infrastructure projects aligned with the Official Plan.</w:t>
      </w:r>
    </w:p>
    <w:p>
      <w:pPr>
        <w:numPr>
          <w:ilvl w:val="0"/>
          <w:numId w:val="1002"/>
        </w:numPr>
        <w:pStyle w:val="Compact"/>
      </w:pPr>
      <w:r>
        <w:rPr>
          <w:bCs/>
          <w:b/>
        </w:rPr>
        <w:t xml:space="preserve">Develop Suburban Focus:</w:t>
      </w:r>
      <w:r>
        <w:t xml:space="preserve"> </w:t>
      </w:r>
      <w:r>
        <w:t xml:space="preserve">Target mid-sized developers in Mississauga and Brampton where population growth outpaces downtown, leveraging our proven Architect delivery model for suburban mixed-use developments.</w:t>
      </w:r>
    </w:p>
    <w:p>
      <w:pPr>
        <w:numPr>
          <w:ilvl w:val="0"/>
          <w:numId w:val="1002"/>
        </w:numPr>
        <w:pStyle w:val="Compact"/>
      </w:pPr>
      <w:r>
        <w:rPr>
          <w:bCs/>
          <w:b/>
        </w:rPr>
        <w:t xml:space="preserve">Enhance Digital Sales Tools:</w:t>
      </w:r>
      <w:r>
        <w:t xml:space="preserve"> </w:t>
      </w:r>
      <w:r>
        <w:t xml:space="preserve">Implement a Toronto-specific project portfolio platform to showcase past Architect successes (e.g., LEED-certified projects in the GTA) to shorten sales cycles with new prospects.</w:t>
      </w:r>
    </w:p>
    <w:bookmarkEnd w:id="24"/>
    <w:bookmarkStart w:id="25" w:name="conclusion"/>
    <w:p>
      <w:pPr>
        <w:pStyle w:val="Heading2"/>
      </w:pPr>
      <w:r>
        <w:t xml:space="preserve">Conclusion</w:t>
      </w:r>
    </w:p>
    <w:p>
      <w:pPr>
        <w:pStyle w:val="FirstParagraph"/>
      </w:pPr>
      <w:r>
        <w:t xml:space="preserve">The Q3 2024 Sales Report underscores our firm’s strong position as a leading provider of Architect services within Canada Toronto. Our success stems from a precise alignment between our service offerings and the city's critical development priorities – sustainability, housing affordability, and infrastructure modernization. The market continues to favor firms with deep local knowledge, regulatory acumen, and innovative architectural solutions. As we move into Q4 2024, we are well-positioned to leverage these strengths for sustained growth in one of Canada’s most vibrant metropolitan markets. Continuous investment in Toronto-specific Architect capabilities remains paramount to our strategy as we solidify our reputation as the trusted partner for forward-thinking development across Canada Toronto.</w:t>
      </w:r>
    </w:p>
    <w:p>
      <w:pPr>
        <w:pStyle w:val="BodyText"/>
      </w:pPr>
      <w:r>
        <w:rPr>
          <w:bCs/>
          <w:b/>
        </w:rPr>
        <w:t xml:space="preserve">Disclaimer:</w:t>
      </w:r>
      <w:r>
        <w:t xml:space="preserve"> </w:t>
      </w:r>
      <w:r>
        <w:t xml:space="preserve">This Sales Report reflects internal performance metrics and market analysis specific to the Canada Toronto architectural services sector. All figures are exclusive of GST/HST. Data represents projects actively managed by [Architect Firm Name] during Q3 2024 (July 1 - September 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Architect Services in Canada Toronto</dc:title>
  <dc:creator/>
  <dc:language>en</dc:language>
  <cp:keywords/>
  <dcterms:created xsi:type="dcterms:W3CDTF">2025-12-09T13:38:33Z</dcterms:created>
  <dcterms:modified xsi:type="dcterms:W3CDTF">2025-12-09T13:38:33Z</dcterms:modified>
</cp:coreProperties>
</file>

<file path=docProps/custom.xml><?xml version="1.0" encoding="utf-8"?>
<Properties xmlns="http://schemas.openxmlformats.org/officeDocument/2006/custom-properties" xmlns:vt="http://schemas.openxmlformats.org/officeDocument/2006/docPropsVTypes"/>
</file>