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Sales</w:t>
      </w:r>
      <w:r>
        <w:t xml:space="preserve"> </w:t>
      </w:r>
      <w:r>
        <w:t xml:space="preserve">Report:</w:t>
      </w:r>
      <w:r>
        <w:t xml:space="preserve"> </w:t>
      </w:r>
      <w:r>
        <w:t xml:space="preserve">Vancouver</w:t>
      </w:r>
      <w:r>
        <w:t xml:space="preserve"> </w:t>
      </w:r>
      <w:r>
        <w:t xml:space="preserve">Canada</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Outlook</w:t>
      </w:r>
    </w:p>
    <w:bookmarkStart w:id="26" w:name="X66e9a8720082622d62985a6cd05d8b0cbffc809"/>
    <w:p>
      <w:pPr>
        <w:pStyle w:val="Heading1"/>
      </w:pPr>
      <w:r>
        <w:t xml:space="preserve">Architect Sales Report: Driving Sustainable Design Innovation Across Canada Vancouver Market (Q3 2024)</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trajectory of our Architect firm within the competitive Canadian real estate landscape of Vancouver. As a leading design practice deeply embedded in the Vancouver ecosystem, we have secured significant project wins across residential, commercial, and civic sectors during Q3 2024. The report underscores how our integrated approach to sustainable architecture—aligned with stringent</w:t>
      </w:r>
      <w:r>
        <w:t xml:space="preserve"> </w:t>
      </w:r>
      <w:r>
        <w:rPr>
          <w:bCs/>
          <w:b/>
        </w:rPr>
        <w:t xml:space="preserve">Canada Vancouver</w:t>
      </w:r>
      <w:r>
        <w:t xml:space="preserve"> </w:t>
      </w:r>
      <w:r>
        <w:t xml:space="preserve">municipal requirements and client expectations—has driven measurable sales growth. With Vancouver’s construction market projected to grow by 8.5% annually through 2026 (BC Construction Association), our Architect team has positioned itself as the preferred design partner for developers prioritizing resilience, community integration, and net-zero compliance.</w:t>
      </w:r>
    </w:p>
    <w:bookmarkEnd w:id="20"/>
    <w:bookmarkStart w:id="21" w:name="key-sales-performance-metrics-q3-2024"/>
    <w:p>
      <w:pPr>
        <w:pStyle w:val="Heading2"/>
      </w:pPr>
      <w:r>
        <w:t xml:space="preserve">Key Sales Performance Metrics (Q3 2024)</w:t>
      </w:r>
    </w:p>
    <w:p>
      <w:pPr>
        <w:pStyle w:val="FirstParagraph"/>
      </w:pPr>
      <w:r>
        <w:t xml:space="preserve">Our firm achieved a 17.3% year-over-year increase in signed project contracts within the</w:t>
      </w:r>
      <w:r>
        <w:t xml:space="preserve"> </w:t>
      </w:r>
      <w:r>
        <w:rPr>
          <w:bCs/>
          <w:b/>
        </w:rPr>
        <w:t xml:space="preserve">Canada Vancouver</w:t>
      </w:r>
      <w:r>
        <w:t xml:space="preserve"> </w:t>
      </w:r>
      <w:r>
        <w:t xml:space="preserve">region, totaling $14.8M CAD in new sales volume. This growth reflects a strategic pivot toward high-value, complex projects aligned with Vancouver’s evolving urban planning framework:</w:t>
      </w:r>
    </w:p>
    <w:p>
      <w:pPr>
        <w:numPr>
          <w:ilvl w:val="0"/>
          <w:numId w:val="1001"/>
        </w:numPr>
        <w:pStyle w:val="Compact"/>
      </w:pPr>
      <w:r>
        <w:rPr>
          <w:bCs/>
          <w:b/>
        </w:rPr>
        <w:t xml:space="preserve">Residential Sector Dominance:</w:t>
      </w:r>
      <w:r>
        <w:t xml:space="preserve"> </w:t>
      </w:r>
      <w:r>
        <w:t xml:space="preserve">62% of new contracts (totaling $9.2M) were for luxury multi-unit residential developments in Downtown Vancouver and Kitsilano, including two major projects with local developers (Bosa Development and Polygon Homes). All designs integrate seismic resilience standards mandated by BC’s</w:t>
      </w:r>
      <w:r>
        <w:t xml:space="preserve"> </w:t>
      </w:r>
      <w:r>
        <w:rPr>
          <w:iCs/>
          <w:i/>
        </w:rPr>
        <w:t xml:space="preserve">Building Code</w:t>
      </w:r>
      <w:r>
        <w:t xml:space="preserve"> </w:t>
      </w:r>
      <w:r>
        <w:t xml:space="preserve">and achieve LEED Gold certification.</w:t>
      </w:r>
    </w:p>
    <w:p>
      <w:pPr>
        <w:numPr>
          <w:ilvl w:val="0"/>
          <w:numId w:val="1001"/>
        </w:numPr>
        <w:pStyle w:val="Compact"/>
      </w:pPr>
      <w:r>
        <w:rPr>
          <w:bCs/>
          <w:b/>
        </w:rPr>
        <w:t xml:space="preserve">Civic &amp; Institutional Wins:</w:t>
      </w:r>
      <w:r>
        <w:t xml:space="preserve"> </w:t>
      </w:r>
      <w:r>
        <w:t xml:space="preserve">25% of sales ($3.7M) came from the City of Vancouver’s "Green Infrastructure Initiative," securing the lead Architect role for three community centers in East Van, emphasizing accessible design and climate adaptation strategies.</w:t>
      </w:r>
    </w:p>
    <w:p>
      <w:pPr>
        <w:numPr>
          <w:ilvl w:val="0"/>
          <w:numId w:val="1001"/>
        </w:numPr>
        <w:pStyle w:val="Compact"/>
      </w:pPr>
      <w:r>
        <w:rPr>
          <w:bCs/>
          <w:b/>
        </w:rPr>
        <w:t xml:space="preserve">Commercial Expansion:</w:t>
      </w:r>
      <w:r>
        <w:t xml:space="preserve"> </w:t>
      </w:r>
      <w:r>
        <w:t xml:space="preserve">13% ($1.9M) represented a significant shift into adaptive reuse projects (e.g., transforming historic Gastown warehouses into mixed-use spaces), capitalizing on Vancouver’s push to revitalize heritage districts without new construction.</w:t>
      </w:r>
    </w:p>
    <w:bookmarkEnd w:id="21"/>
    <w:bookmarkStart w:id="22" w:name="X2b7aff9d2e25a563947b51c967c859e2eed4ea7"/>
    <w:p>
      <w:pPr>
        <w:pStyle w:val="Heading2"/>
      </w:pPr>
      <w:r>
        <w:t xml:space="preserve">Vancouver-Specific Market Analysis Driving Sales Success</w:t>
      </w:r>
    </w:p>
    <w:p>
      <w:pPr>
        <w:pStyle w:val="FirstParagraph"/>
      </w:pPr>
      <w:r>
        <w:t xml:space="preserve">Our sales strategy has been meticulously tailored to Vancouver’s unique regulatory and cultural context. Key factors influencing client acquisition:</w:t>
      </w:r>
    </w:p>
    <w:p>
      <w:pPr>
        <w:numPr>
          <w:ilvl w:val="0"/>
          <w:numId w:val="1002"/>
        </w:numPr>
        <w:pStyle w:val="Compact"/>
      </w:pPr>
      <w:r>
        <w:rPr>
          <w:bCs/>
          <w:b/>
        </w:rPr>
        <w:t xml:space="preserve">Regulatory Alignment:</w:t>
      </w:r>
      <w:r>
        <w:t xml:space="preserve"> </w:t>
      </w:r>
      <w:r>
        <w:t xml:space="preserve">All proposals explicitly address the City of Vancouver’s 2024 Design Guidelines, including mandatory "15-minute neighborhood" principles and enhanced accessibility standards. Our Architect team’s deep familiarity with municipal permitting processes reduced proposal turnaround time by 30%, directly translating to higher win rates.</w:t>
      </w:r>
    </w:p>
    <w:p>
      <w:pPr>
        <w:numPr>
          <w:ilvl w:val="0"/>
          <w:numId w:val="1002"/>
        </w:numPr>
        <w:pStyle w:val="Compact"/>
      </w:pPr>
      <w:r>
        <w:rPr>
          <w:bCs/>
          <w:b/>
        </w:rPr>
        <w:t xml:space="preserve">Sustainability as a Sales Driver:</w:t>
      </w:r>
      <w:r>
        <w:t xml:space="preserve"> </w:t>
      </w:r>
      <w:r>
        <w:t xml:space="preserve">Vancouver’s climate action targets (Net-Zero Carbon by 2050) make sustainability non-negotiable. We embedded passive design features (solar orientation, rainwater harvesting) into 100% of Q3 projects, differentiating us from competitors. This resonated with developers seeking premium pricing for certified green buildings.</w:t>
      </w:r>
    </w:p>
    <w:p>
      <w:pPr>
        <w:numPr>
          <w:ilvl w:val="0"/>
          <w:numId w:val="1002"/>
        </w:numPr>
        <w:pStyle w:val="Compact"/>
      </w:pPr>
      <w:r>
        <w:rPr>
          <w:bCs/>
          <w:b/>
        </w:rPr>
        <w:t xml:space="preserve">Community-Centric Approach:</w:t>
      </w:r>
      <w:r>
        <w:t xml:space="preserve"> </w:t>
      </w:r>
      <w:r>
        <w:t xml:space="preserve">Unlike generic firms, our Architect process prioritizes public consultation (e.g., hosting workshops for the "Marpole Community Hub" project). This fostered trust with neighborhood associations and accelerated approvals—critical in Vancouver’s politically nuanced development environment.</w:t>
      </w:r>
    </w:p>
    <w:bookmarkEnd w:id="22"/>
    <w:bookmarkStart w:id="23" w:name="challenges-strategic-adaptations"/>
    <w:p>
      <w:pPr>
        <w:pStyle w:val="Heading2"/>
      </w:pPr>
      <w:r>
        <w:t xml:space="preserve">Challenges &amp; Strategic Adaptations</w:t>
      </w:r>
    </w:p>
    <w:p>
      <w:pPr>
        <w:pStyle w:val="FirstParagraph"/>
      </w:pPr>
      <w:r>
        <w:t xml:space="preserve">The</w:t>
      </w:r>
      <w:r>
        <w:t xml:space="preserve"> </w:t>
      </w:r>
      <w:r>
        <w:rPr>
          <w:bCs/>
          <w:b/>
        </w:rPr>
        <w:t xml:space="preserve">Canada Vancouver</w:t>
      </w:r>
      <w:r>
        <w:t xml:space="preserve"> </w:t>
      </w:r>
      <w:r>
        <w:t xml:space="preserve">market presents distinct hurdles that our sales team proactively addresses:</w:t>
      </w:r>
    </w:p>
    <w:p>
      <w:pPr>
        <w:numPr>
          <w:ilvl w:val="0"/>
          <w:numId w:val="1003"/>
        </w:numPr>
        <w:pStyle w:val="Compact"/>
      </w:pPr>
      <w:r>
        <w:rPr>
          <w:iCs/>
          <w:i/>
        </w:rPr>
        <w:t xml:space="preserve">Supply Chain Volatility:</w:t>
      </w:r>
      <w:r>
        <w:t xml:space="preserve"> </w:t>
      </w:r>
      <w:r>
        <w:t xml:space="preserve">Rising costs for sustainable materials (e.g., cross-laminated timber) threatened margins. Our Architect team partnered with BC-based suppliers to lock in fixed pricing, turning a challenge into a value proposition for clients seeking cost certainty.</w:t>
      </w:r>
    </w:p>
    <w:p>
      <w:pPr>
        <w:numPr>
          <w:ilvl w:val="0"/>
          <w:numId w:val="1003"/>
        </w:numPr>
        <w:pStyle w:val="Compact"/>
      </w:pPr>
      <w:r>
        <w:rPr>
          <w:iCs/>
          <w:i/>
        </w:rPr>
        <w:t xml:space="preserve">Competitive Pressure from National Firms:</w:t>
      </w:r>
      <w:r>
        <w:t xml:space="preserve"> </w:t>
      </w:r>
      <w:r>
        <w:t xml:space="preserve">Larger Canadian practices bid aggressively on commercial projects. We countered by emphasizing hyper-local expertise: our Vancouver-based Architect staff include members with decades of experience navigating the City’s complex heritage and rezoning policies.</w:t>
      </w:r>
    </w:p>
    <w:p>
      <w:pPr>
        <w:numPr>
          <w:ilvl w:val="0"/>
          <w:numId w:val="1003"/>
        </w:numPr>
        <w:pStyle w:val="Compact"/>
      </w:pPr>
      <w:r>
        <w:rPr>
          <w:iCs/>
          <w:i/>
        </w:rPr>
        <w:t xml:space="preserve">Client Education Gap:</w:t>
      </w:r>
      <w:r>
        <w:t xml:space="preserve"> </w:t>
      </w:r>
      <w:r>
        <w:t xml:space="preserve">Some developers underestimated Vancouver’s updated zoning codes for seismic safety. Our sales process now includes mandatory "Regulatory Briefings" conducted by our Principal Architect, preventing costly redesigns post-submission.</w:t>
      </w:r>
    </w:p>
    <w:bookmarkEnd w:id="23"/>
    <w:bookmarkStart w:id="24" w:name="strategic-focus-for-q4-2024-beyond"/>
    <w:p>
      <w:pPr>
        <w:pStyle w:val="Heading2"/>
      </w:pPr>
      <w:r>
        <w:t xml:space="preserve">Strategic Focus for Q4 2024 &amp; Beyond</w:t>
      </w:r>
    </w:p>
    <w:p>
      <w:pPr>
        <w:pStyle w:val="FirstParagraph"/>
      </w:pPr>
      <w:r>
        <w:t xml:space="preserve">Building on Q3 momentum, our Architect firm will prioritize three initiatives aligned with Vancouver’s growth trajectory:</w:t>
      </w:r>
    </w:p>
    <w:p>
      <w:pPr>
        <w:numPr>
          <w:ilvl w:val="0"/>
          <w:numId w:val="1004"/>
        </w:numPr>
        <w:pStyle w:val="Compact"/>
      </w:pPr>
      <w:r>
        <w:rPr>
          <w:bCs/>
          <w:b/>
        </w:rPr>
        <w:t xml:space="preserve">Expanding Indigenous Design Partnerships:</w:t>
      </w:r>
      <w:r>
        <w:t xml:space="preserve"> </w:t>
      </w:r>
      <w:r>
        <w:t xml:space="preserve">Collaborating with local First Nations (e.g., Musqueam) on culturally resonant community projects. This aligns with Vancouver’s 2023 "Reconciliation in Urban Development" policy and opens access to $50M+ government-funded civic projects.</w:t>
      </w:r>
    </w:p>
    <w:p>
      <w:pPr>
        <w:numPr>
          <w:ilvl w:val="0"/>
          <w:numId w:val="1004"/>
        </w:numPr>
        <w:pStyle w:val="Compact"/>
      </w:pPr>
      <w:r>
        <w:rPr>
          <w:bCs/>
          <w:b/>
        </w:rPr>
        <w:t xml:space="preserve">Specializing in Affordable Housing:</w:t>
      </w:r>
      <w:r>
        <w:t xml:space="preserve"> </w:t>
      </w:r>
      <w:r>
        <w:t xml:space="preserve">Targeting BC Housing’s new subsidies for non-market housing by developing scalable, cost-effective Architect solutions. Early pipeline includes a 200-unit project in Richmond (Vancouver’s suburbs), addressing the city’s severe affordability crisis.</w:t>
      </w:r>
    </w:p>
    <w:p>
      <w:pPr>
        <w:numPr>
          <w:ilvl w:val="0"/>
          <w:numId w:val="1004"/>
        </w:numPr>
        <w:pStyle w:val="Compact"/>
      </w:pPr>
      <w:r>
        <w:rPr>
          <w:bCs/>
          <w:b/>
        </w:rPr>
        <w:t xml:space="preserve">Digital Sales Enablement:</w:t>
      </w:r>
      <w:r>
        <w:t xml:space="preserve"> </w:t>
      </w:r>
      <w:r>
        <w:t xml:space="preserve">Launching an interactive Vancouver-specific design portal for clients, showcasing real-time compliance with local codes. This will reduce proposal costs by 25% and accelerate client decision-making in a high-volume market.</w:t>
      </w:r>
    </w:p>
    <w:bookmarkEnd w:id="24"/>
    <w:bookmarkStart w:id="25" w:name="Xb17fff7420de22612177dba7c90eda010149738"/>
    <w:p>
      <w:pPr>
        <w:pStyle w:val="Heading2"/>
      </w:pPr>
      <w:r>
        <w:t xml:space="preserve">Conclusion: Architect as Strategic Business Partner</w:t>
      </w:r>
    </w:p>
    <w:p>
      <w:pPr>
        <w:pStyle w:val="FirstParagraph"/>
      </w:pPr>
      <w:r>
        <w:t xml:space="preserve">This Sales Report confirms that our firm’s success in the</w:t>
      </w:r>
      <w:r>
        <w:t xml:space="preserve"> </w:t>
      </w:r>
      <w:r>
        <w:rPr>
          <w:bCs/>
          <w:b/>
        </w:rPr>
        <w:t xml:space="preserve">Canada Vancouver</w:t>
      </w:r>
      <w:r>
        <w:t xml:space="preserve"> </w:t>
      </w:r>
      <w:r>
        <w:t xml:space="preserve">market stems from treating the Architect role as a strategic business driver—not merely a service. By embedding deep local knowledge into every sales interaction and design solution, we have transformed how clients perceive architectural value: from cost to competitive advantage. As Vancouver prepares for its 2043 Growth Strategy (prioritizing transit-oriented development), our Architect team is uniquely positioned to guide developers through complex urbanization challenges.</w:t>
      </w:r>
    </w:p>
    <w:p>
      <w:pPr>
        <w:pStyle w:val="BodyText"/>
      </w:pPr>
      <w:r>
        <w:t xml:space="preserve">The Q3 results reflect a firm commitment to excellence within the Canadian architectural profession, specifically tailored for the dynamic, high-stakes environment of Vancouver. We project 20%+ sales growth in 2025 by doubling down on our core strengths: regulatory mastery, sustainable innovation, and community-focused design. This isn’t just a sales report; it’s a blueprint for becoming the preeminent Architect firm in one of Canada’s most demanding—and rewarding—urban markets.</w:t>
      </w:r>
    </w:p>
    <w:p>
      <w:pPr>
        <w:pStyle w:val="BodyText"/>
      </w:pPr>
      <w:r>
        <w:rPr>
          <w:bCs/>
          <w:b/>
        </w:rPr>
        <w:t xml:space="preserve">Prepared For:</w:t>
      </w:r>
      <w:r>
        <w:t xml:space="preserve"> </w:t>
      </w:r>
      <w:r>
        <w:t xml:space="preserve">Executive Leadership &amp; Sales Strategy Committee |</w:t>
      </w:r>
      <w:r>
        <w:t xml:space="preserve"> </w:t>
      </w:r>
      <w:r>
        <w:rPr>
          <w:bCs/>
          <w:b/>
        </w:rPr>
        <w:t xml:space="preserve">Date:</w:t>
      </w:r>
      <w:r>
        <w:t xml:space="preserve"> </w:t>
      </w:r>
      <w:r>
        <w:t xml:space="preserve">October 26, 2024 |</w:t>
      </w:r>
      <w:r>
        <w:t xml:space="preserve"> </w:t>
      </w:r>
      <w:r>
        <w:rPr>
          <w:bCs/>
          <w:b/>
        </w:rPr>
        <w:t xml:space="preserve">Firm:</w:t>
      </w:r>
      <w:r>
        <w:t xml:space="preserve"> </w:t>
      </w:r>
      <w:r>
        <w:t xml:space="preserve">Horizon Architects (Vancouver, BC)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Sales Report: Vancouver Canada Market Analysis &amp; Strategic Outlook</dc:title>
  <dc:creator/>
  <dc:language>en</dc:language>
  <cp:keywords/>
  <dcterms:created xsi:type="dcterms:W3CDTF">2025-12-11T06:08:08Z</dcterms:created>
  <dcterms:modified xsi:type="dcterms:W3CDTF">2025-12-11T06:08:08Z</dcterms:modified>
</cp:coreProperties>
</file>

<file path=docProps/custom.xml><?xml version="1.0" encoding="utf-8"?>
<Properties xmlns="http://schemas.openxmlformats.org/officeDocument/2006/custom-properties" xmlns:vt="http://schemas.openxmlformats.org/officeDocument/2006/docPropsVTypes"/>
</file>