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Architectural</w:t>
      </w:r>
      <w:r>
        <w:t xml:space="preserve"> </w:t>
      </w:r>
      <w:r>
        <w:t xml:space="preserve">Sales</w:t>
      </w:r>
      <w:r>
        <w:t xml:space="preserve"> </w:t>
      </w:r>
      <w:r>
        <w:t xml:space="preserve">Performance</w:t>
      </w:r>
      <w:r>
        <w:t xml:space="preserve"> </w:t>
      </w:r>
      <w:r>
        <w:t xml:space="preserve">Report:</w:t>
      </w:r>
      <w:r>
        <w:t xml:space="preserve"> </w:t>
      </w:r>
      <w:r>
        <w:t xml:space="preserve">Colombia</w:t>
      </w:r>
      <w:r>
        <w:t xml:space="preserve"> </w:t>
      </w:r>
      <w:r>
        <w:t xml:space="preserve">Bogotá</w:t>
      </w:r>
      <w:r>
        <w:t xml:space="preserve"> </w:t>
      </w:r>
      <w:r>
        <w:t xml:space="preserve">Market</w:t>
      </w:r>
    </w:p>
    <w:bookmarkStart w:id="30" w:name="Xa27d092ee6e92b7bd547d83840353da96d899a4"/>
    <w:p>
      <w:pPr>
        <w:pStyle w:val="Heading1"/>
      </w:pPr>
      <w:r>
        <w:t xml:space="preserve">Comprehensive Sales Report: Architectural Services Performance in Colombia Bogotá (Q3 2023)</w:t>
      </w:r>
    </w:p>
    <w:bookmarkStart w:id="20" w:name="executive-summary"/>
    <w:p>
      <w:pPr>
        <w:pStyle w:val="Heading2"/>
      </w:pPr>
      <w:r>
        <w:t xml:space="preserve">Executive Summary</w:t>
      </w:r>
    </w:p>
    <w:p>
      <w:pPr>
        <w:pStyle w:val="FirstParagraph"/>
      </w:pPr>
      <w:r>
        <w:t xml:space="preserve">This official</w:t>
      </w:r>
      <w:r>
        <w:t xml:space="preserve"> </w:t>
      </w:r>
      <w:r>
        <w:rPr>
          <w:bCs/>
          <w:b/>
        </w:rPr>
        <w:t xml:space="preserve">Sales Report</w:t>
      </w:r>
      <w:r>
        <w:t xml:space="preserve"> </w:t>
      </w:r>
      <w:r>
        <w:t xml:space="preserve">presents a detailed analysis of architectural service performance across the dynamic market of Colombia Bogotá during the third quarter of 2023. As the nation's economic capital and largest urban center, Bogotá represents a critical growth frontier for architectural firms. Our data reveals robust demand for specialized</w:t>
      </w:r>
      <w:r>
        <w:t xml:space="preserve"> </w:t>
      </w:r>
      <w:r>
        <w:rPr>
          <w:bCs/>
          <w:b/>
        </w:rPr>
        <w:t xml:space="preserve">Architect</w:t>
      </w:r>
      <w:r>
        <w:t xml:space="preserve"> </w:t>
      </w:r>
      <w:r>
        <w:t xml:space="preserve">services, driven by infrastructure expansion, sustainable development mandates, and a thriving real estate sector. This</w:t>
      </w:r>
      <w:r>
        <w:t xml:space="preserve"> </w:t>
      </w:r>
      <w:r>
        <w:rPr>
          <w:bCs/>
          <w:b/>
        </w:rPr>
        <w:t xml:space="preserve">Sales Report</w:t>
      </w:r>
      <w:r>
        <w:t xml:space="preserve"> </w:t>
      </w:r>
      <w:r>
        <w:t xml:space="preserve">underscores how strategic positioning within Colombia Bogotá has yielded exceptional results compared to national averages.</w:t>
      </w:r>
    </w:p>
    <w:bookmarkEnd w:id="20"/>
    <w:bookmarkStart w:id="21" w:name="X912d8a1d9744cb4acdd1c64be0a172738cf7ffc"/>
    <w:p>
      <w:pPr>
        <w:pStyle w:val="Heading2"/>
      </w:pPr>
      <w:r>
        <w:t xml:space="preserve">Market Context: Colombia Bogotá's Architectural Landscape</w:t>
      </w:r>
    </w:p>
    <w:p>
      <w:pPr>
        <w:pStyle w:val="FirstParagraph"/>
      </w:pPr>
      <w:r>
        <w:t xml:space="preserve">Bogotá's architectural market continues to evolve as the engine of Colombia's construction industry, accounting for 34% of all national commercial projects. The city's unique challenges—mountainous terrain, seismic activity requirements, and stringent sustainability regulations (e.g., Decree 1076 of 2015)—demand specialized expertise from every</w:t>
      </w:r>
      <w:r>
        <w:t xml:space="preserve"> </w:t>
      </w:r>
      <w:r>
        <w:rPr>
          <w:bCs/>
          <w:b/>
        </w:rPr>
        <w:t xml:space="preserve">Architect</w:t>
      </w:r>
      <w:r>
        <w:t xml:space="preserve">. This quarter's performance demonstrates how our firm has leveraged deep local knowledge of Colombia Bogotá's regulatory environment to capture market share. The city's population growth (2.8% annually) and $14 billion in new construction permits issued this year create unprecedented opportunities for forward-thinking architectural practices.</w:t>
      </w:r>
    </w:p>
    <w:bookmarkEnd w:id="21"/>
    <w:bookmarkStart w:id="24" w:name="sales-performance-breakdown"/>
    <w:p>
      <w:pPr>
        <w:pStyle w:val="Heading2"/>
      </w:pPr>
      <w:r>
        <w:t xml:space="preserve">Sales Performance Breakdown</w:t>
      </w:r>
    </w:p>
    <w:bookmarkStart w:id="22" w:name="project-type-revenue-distribution"/>
    <w:p>
      <w:pPr>
        <w:pStyle w:val="Heading3"/>
      </w:pPr>
      <w:r>
        <w:t xml:space="preserve">Project Type Revenue Distribution</w:t>
      </w:r>
    </w:p>
    <w:p>
      <w:pPr>
        <w:pStyle w:val="FirstParagraph"/>
      </w:pPr>
      <w:r>
        <w:t xml:space="preserve">Project Category</w:t>
      </w:r>
    </w:p>
    <w:p>
      <w:pPr>
        <w:pStyle w:val="BodyText"/>
      </w:pPr>
      <w:r>
        <w:t xml:space="preserve">Revenue (USD)</w:t>
      </w:r>
    </w:p>
    <w:p>
      <w:pPr>
        <w:pStyle w:val="BodyText"/>
      </w:pPr>
      <w:r>
        <w:t xml:space="preserve">% of Total Sales</w:t>
      </w:r>
    </w:p>
    <w:p>
      <w:pPr>
        <w:pStyle w:val="BodyText"/>
      </w:pPr>
      <w:r>
        <w:t xml:space="preserve">Growth vs Q2 2023</w:t>
      </w:r>
    </w:p>
    <w:p>
      <w:pPr>
        <w:pStyle w:val="BodyText"/>
      </w:pPr>
      <w:r>
        <w:t xml:space="preserve">Sustainable Residential Developments (Bogotá Hills)</w:t>
      </w:r>
    </w:p>
    <w:p>
      <w:pPr>
        <w:pStyle w:val="BodyText"/>
      </w:pPr>
      <w:r>
        <w:t xml:space="preserve">$850,000</w:t>
      </w:r>
    </w:p>
    <w:p>
      <w:pPr>
        <w:pStyle w:val="BodyText"/>
      </w:pPr>
      <w:r>
        <w:t xml:space="preserve">41%</w:t>
      </w:r>
    </w:p>
    <w:p>
      <w:pPr>
        <w:pStyle w:val="BodyText"/>
      </w:pPr>
      <w:r>
        <w:t xml:space="preserve">+18%</w:t>
      </w:r>
    </w:p>
    <w:p>
      <w:pPr>
        <w:pStyle w:val="BodyText"/>
      </w:pPr>
      <w:r>
        <w:t xml:space="preserve">Corporate Headquarters (Zona T, Envigado)</w:t>
      </w:r>
    </w:p>
    <w:p>
      <w:pPr>
        <w:pStyle w:val="BodyText"/>
      </w:pPr>
      <w:r>
        <w:t xml:space="preserve">$625,000</w:t>
      </w:r>
    </w:p>
    <w:p>
      <w:pPr>
        <w:pStyle w:val="BodyText"/>
      </w:pPr>
      <w:r>
        <w:t xml:space="preserve">Public Infrastructure (Bogotá Metro Line 3)</w:t>
      </w:r>
    </w:p>
    <w:p>
      <w:pPr>
        <w:pStyle w:val="BodyText"/>
      </w:pPr>
      <w:r>
        <w:t xml:space="preserve">$480,000</w:t>
      </w:r>
    </w:p>
    <w:p>
      <w:pPr>
        <w:pStyle w:val="BodyText"/>
      </w:pPr>
      <w:r>
        <w:t xml:space="preserve">Sustainable Urban Renewal Projects</w:t>
      </w:r>
    </w:p>
    <w:p>
      <w:pPr>
        <w:pStyle w:val="BodyText"/>
      </w:pPr>
      <w:r>
        <w:t xml:space="preserve">$325,000</w:t>
      </w:r>
    </w:p>
    <w:p>
      <w:pPr>
        <w:pStyle w:val="BodyText"/>
      </w:pPr>
      <w:r>
        <w:t xml:space="preserve">16%</w:t>
      </w:r>
    </w:p>
    <w:p>
      <w:pPr>
        <w:pStyle w:val="BodyText"/>
      </w:pPr>
      <w:r>
        <w:t xml:space="preserve">+29%</w:t>
      </w:r>
    </w:p>
    <w:p>
      <w:pPr>
        <w:pStyle w:val="BodyText"/>
      </w:pPr>
      <w:r>
        <w:t xml:space="preserve">Total Sales</w:t>
      </w:r>
    </w:p>
    <w:p>
      <w:pPr>
        <w:pStyle w:val="BodyText"/>
      </w:pPr>
      <w:r>
        <w:t xml:space="preserve">$2,480,000</w:t>
      </w:r>
    </w:p>
    <w:p>
      <w:pPr>
        <w:pStyle w:val="BodyText"/>
      </w:pPr>
      <w:r>
        <w:t xml:space="preserve">100%</w:t>
      </w:r>
    </w:p>
    <w:p>
      <w:pPr>
        <w:pStyle w:val="BodyText"/>
      </w:pPr>
      <w:r>
        <w:t xml:space="preserve">+23% YoY</w:t>
      </w:r>
    </w:p>
    <w:bookmarkEnd w:id="22"/>
    <w:bookmarkStart w:id="23" w:name="key-insight-the-colombia-bogotá-premium"/>
    <w:p>
      <w:pPr>
        <w:pStyle w:val="Heading3"/>
      </w:pPr>
      <w:r>
        <w:t xml:space="preserve">Key Insight: The Colombia Bogotá Premium</w:t>
      </w:r>
    </w:p>
    <w:p>
      <w:pPr>
        <w:pStyle w:val="FirstParagraph"/>
      </w:pPr>
      <w:r>
        <w:t xml:space="preserve">Our firm achieved a 27% average project value premium in Colombia Bogotá versus national benchmarks. This stems from our specialization in high-value segments like sustainable luxury housing (e.g., the "Cerro Nutibara" eco-resort) and complex public infrastructure. The city's unique demand for seismic-resistant designs and green building certification (LEED, Green Globe) positions our</w:t>
      </w:r>
      <w:r>
        <w:t xml:space="preserve"> </w:t>
      </w:r>
      <w:r>
        <w:rPr>
          <w:bCs/>
          <w:b/>
        </w:rPr>
        <w:t xml:space="preserve">Architect</w:t>
      </w:r>
      <w:r>
        <w:t xml:space="preserve"> </w:t>
      </w:r>
      <w:r>
        <w:t xml:space="preserve">team as indispensable partners. Notably, 78% of new clients in Bogotá specifically requested firms with proven local experience—a testament to the market's sophistication.</w:t>
      </w:r>
    </w:p>
    <w:bookmarkEnd w:id="23"/>
    <w:bookmarkEnd w:id="24"/>
    <w:bookmarkStart w:id="25" w:name="Xd5afe76be0a13ed54fd17eab906218eba7f2dd8"/>
    <w:p>
      <w:pPr>
        <w:pStyle w:val="Heading2"/>
      </w:pPr>
      <w:r>
        <w:t xml:space="preserve">Client Acquisition Strategy: Colombia Bogotá Focus</w:t>
      </w:r>
    </w:p>
    <w:p>
      <w:pPr>
        <w:pStyle w:val="FirstParagraph"/>
      </w:pPr>
      <w:r>
        <w:t xml:space="preserve">The Sales Report identifies three pivotal growth vectors: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Public-Private Partnerships (PPPs):</w:t>
      </w:r>
      <w:r>
        <w:t xml:space="preserve"> </w:t>
      </w:r>
      <w:r>
        <w:t xml:space="preserve">Secured 3 major contracts with Bogotá's Institute for Housing (IHB) through our deep understanding of Colombia's Urban Development Law. The "Bogotá Viva" low-income housing initiative generated $350,000 in sales.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Sustainable Certification Expertise:</w:t>
      </w:r>
      <w:r>
        <w:t xml:space="preserve"> </w:t>
      </w:r>
      <w:r>
        <w:t xml:space="preserve">Positioned as the go-to firm for LEED certification in Colombia Bogotá after training 12 junior architects on local green building codes. This resulted in a 45% increase in sustainable project inquiries.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Hyper-Local Networking:</w:t>
      </w:r>
      <w:r>
        <w:t xml:space="preserve"> </w:t>
      </w:r>
      <w:r>
        <w:t xml:space="preserve">Partnered with Bogotá's Chamber of Commerce and the Colombian Association of Architects (ACO) for targeted workshops. These initiatives yielded 17 qualified leads, converting to $210,000 in new business.</w:t>
      </w:r>
    </w:p>
    <w:bookmarkEnd w:id="25"/>
    <w:bookmarkStart w:id="26" w:name="X9c8d840dbde0f732c08cae370b293d512c68f55"/>
    <w:p>
      <w:pPr>
        <w:pStyle w:val="Heading2"/>
      </w:pPr>
      <w:r>
        <w:t xml:space="preserve">Challenges and Mitigation in Colombia Bogotá</w:t>
      </w:r>
    </w:p>
    <w:p>
      <w:pPr>
        <w:pStyle w:val="FirstParagraph"/>
      </w:pPr>
      <w:r>
        <w:t xml:space="preserve">The Sales Report acknowledges persistent market challenges unique to Colombia Bogotá: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Regulatory Complexity:</w:t>
      </w:r>
      <w:r>
        <w:t xml:space="preserve"> </w:t>
      </w:r>
      <w:r>
        <w:t xml:space="preserve">Navigating Bogotá's 47 municipal building codes requires specialized knowledge. Our solution: Dedicated compliance team with ex-municipal officials.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Material Cost Volatility:</w:t>
      </w:r>
      <w:r>
        <w:t xml:space="preserve"> </w:t>
      </w:r>
      <w:r>
        <w:t xml:space="preserve">32% rise in steel prices impacted project margins. Mitigation: Secured long-term contracts with Colombian steel mills (e.g., Acerías Paz del Río) at fixed rates.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Talent Acquisition:</w:t>
      </w:r>
      <w:r>
        <w:t xml:space="preserve"> </w:t>
      </w:r>
      <w:r>
        <w:t xml:space="preserve">Competition for skilled architects in Colombia Bogotá is fierce. Strategy: Established partnership with Universidad de los Andes' Architecture School for early talent identification.</w:t>
      </w:r>
    </w:p>
    <w:bookmarkEnd w:id="26"/>
    <w:bookmarkStart w:id="27" w:name="X3603a47672035c1900e26a58263e8f8cf531cbf"/>
    <w:p>
      <w:pPr>
        <w:pStyle w:val="Heading2"/>
      </w:pPr>
      <w:r>
        <w:t xml:space="preserve">Growth Projections and Strategic Imperatives</w:t>
      </w:r>
    </w:p>
    <w:p>
      <w:pPr>
        <w:pStyle w:val="FirstParagraph"/>
      </w:pPr>
      <w:r>
        <w:t xml:space="preserve">Based on current pipeline analysis, we project a 35% revenue increase for the full year 2023 in Colombia Bogotá. The Sales Report prioritizes three strategic imperatives: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Expand Sustainable Practice:</w:t>
      </w:r>
      <w:r>
        <w:t xml:space="preserve"> </w:t>
      </w:r>
      <w:r>
        <w:t xml:space="preserve">Allocate $400,000 to develop Bogotá's first carbon-neutral architectural certification program by Q1 2024.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Enhance Digital Tools:</w:t>
      </w:r>
      <w:r>
        <w:t xml:space="preserve"> </w:t>
      </w:r>
      <w:r>
        <w:t xml:space="preserve">Implement BIM (Building Information Modeling) integration specifically for Colombia Bogotá's topography—projected to reduce design errors by 38%.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Cultivate Government Relationships:</w:t>
      </w:r>
      <w:r>
        <w:t xml:space="preserve"> </w:t>
      </w:r>
      <w:r>
        <w:t xml:space="preserve">Target $1.2M in new public sector contracts through Bogotá's 2024 Urban Mobility Plan, leveraging our current municipal partnerships.</w:t>
      </w:r>
    </w:p>
    <w:bookmarkEnd w:id="27"/>
    <w:bookmarkStart w:id="29" w:name="conclusion-the-colombia-bogotá-advantage"/>
    <w:p>
      <w:pPr>
        <w:pStyle w:val="Heading2"/>
      </w:pPr>
      <w:r>
        <w:t xml:space="preserve">Conclusion: The Colombia Bogotá Advantage</w:t>
      </w:r>
    </w:p>
    <w:p>
      <w:pPr>
        <w:pStyle w:val="FirstParagraph"/>
      </w:pPr>
      <w:r>
        <w:t xml:space="preserve">This Sales Report unequivocally demonstrates that our firm's success in Colombia Bogotá stems from a singular focus: becoming the most locally embedded architectural practice. By mastering the nuances of Bogotá's terrain, regulations, and cultural expectations—rather than applying generic national strategies—we've outperformed regional competitors by 21% in project profitability. As Colombia continues its urban transformation, our commitment to delivering tailored</w:t>
      </w:r>
      <w:r>
        <w:t xml:space="preserve"> </w:t>
      </w:r>
      <w:r>
        <w:rPr>
          <w:bCs/>
          <w:b/>
        </w:rPr>
        <w:t xml:space="preserve">Architect</w:t>
      </w:r>
      <w:r>
        <w:t xml:space="preserve"> </w:t>
      </w:r>
      <w:r>
        <w:t xml:space="preserve">solutions within Colombia Bogotá will remain the cornerstone of our growth strategy. The data is clear: for any firm aspiring to lead in Colombia's architectural market, deep immersion in Bogotá's ecosystem isn't just beneficial—it's non-negotiable. This Sales Report serves as both a testament to our current achievements and a blueprint for capturing 40%+ market share in the Bogotá metropolitan area by 2025.</w:t>
      </w:r>
    </w:p>
    <w:bookmarkStart w:id="28" w:name="Xb473f8adf59c8f536362d86bf775c069443330e"/>
    <w:p>
      <w:pPr>
        <w:pStyle w:val="Heading3"/>
      </w:pPr>
      <w:r>
        <w:t xml:space="preserve">Prepared By: Global Architecture Solutions | Bogotá Office</w:t>
      </w:r>
    </w:p>
    <w:p>
      <w:pPr>
        <w:pStyle w:val="FirstParagraph"/>
      </w:pPr>
      <w:r>
        <w:rPr>
          <w:iCs/>
          <w:i/>
        </w:rPr>
        <w:t xml:space="preserve">Confidential Internal Document • Q3 Sales Report • October 15, 2023</w:t>
      </w:r>
    </w:p>
    <w:bookmarkEnd w:id="28"/>
    <w:bookmarkEnd w:id="29"/>
    <w:bookmarkEnd w:id="30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2">
    <w:abstractNumId w:val="991"/>
  </w:num>
  <w:num w:numId="1003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Architectural Sales Performance Report: Colombia Bogotá Market</dc:title>
  <dc:creator/>
  <dc:language>en</dc:language>
  <cp:keywords/>
  <dcterms:created xsi:type="dcterms:W3CDTF">2026-07-23T12:30:51Z</dcterms:created>
  <dcterms:modified xsi:type="dcterms:W3CDTF">2026-07-23T12:30:51Z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