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cb235d3f68415ba1e1bef035f6158fa2023079"/>
    <w:p>
      <w:pPr>
        <w:pStyle w:val="Heading1"/>
      </w:pPr>
      <w:r>
        <w:t xml:space="preserve">Sales Report: Architectural Services Performance in Colombia Medellín</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across Medellín, Colombia during the third quarter of 2023. As a leading architectural firm deeply embedded in the vibrant Colombian urban landscape, we have achieved significant milestones in client acquisition, project delivery, and market expansion. The report demonstrates how strategic localization and cultural understanding have driven our success in one of Latin America's most dynamic cities. With Medellín's transformation into a global hub for innovation and sustainable urban development, our Architect services have positioned us as indispensable partners for both private developers and municipal initiatives across Colombia.</w:t>
      </w:r>
    </w:p>
    <w:bookmarkEnd w:id="20"/>
    <w:bookmarkStart w:id="21" w:name="X354b059d4ad284c7fa3b00f0b1d352e87fad4b5"/>
    <w:p>
      <w:pPr>
        <w:pStyle w:val="Heading2"/>
      </w:pPr>
      <w:r>
        <w:t xml:space="preserve">Market Context: Architecture in Colombia Medellín</w:t>
      </w:r>
    </w:p>
    <w:p>
      <w:pPr>
        <w:pStyle w:val="FirstParagraph"/>
      </w:pPr>
      <w:r>
        <w:t xml:space="preserve">Medellín has undergone a remarkable architectural renaissance since the early 2000s, evolving from a city synonymous with violence to a world-class example of urban regeneration. Today, as an Architect firm operating within Colombia Medellín's thriving ecosystem, we leverage this unique context to deliver solutions that address both contemporary challenges and cultural heritage. The city's current infrastructure boom—including the expansion of Metrocable systems, new social housing projects like 'Barrio Nuevo' in Comuna 13, and private developments such as the 'Poblado Corporate Center'—creates unprecedented demand for visionary Architect services. According to Colombia's Ministry of Housing (2023), Medellín accounts for 34% of all architectural permits issued nationally, with a 27% YoY growth in high-complexity projects requiring specialized Architect expertise.</w:t>
      </w:r>
    </w:p>
    <w:bookmarkEnd w:id="21"/>
    <w:bookmarkStart w:id="22" w:name="q3-sales-performance-analysis"/>
    <w:p>
      <w:pPr>
        <w:pStyle w:val="Heading2"/>
      </w:pPr>
      <w:r>
        <w:t xml:space="preserve">Q3 Sales Performance Analysis</w:t>
      </w:r>
    </w:p>
    <w:p>
      <w:pPr>
        <w:pStyle w:val="FirstParagraph"/>
      </w:pPr>
      <w:r>
        <w:t xml:space="preserve">Our sales pipeline in Colombia Medellín yielded remarkable results during Q3 2023:</w:t>
      </w:r>
    </w:p>
    <w:p>
      <w:pPr>
        <w:numPr>
          <w:ilvl w:val="0"/>
          <w:numId w:val="1001"/>
        </w:numPr>
        <w:pStyle w:val="Compact"/>
      </w:pPr>
      <w:r>
        <w:rPr>
          <w:bCs/>
          <w:b/>
        </w:rPr>
        <w:t xml:space="preserve">Revenue Growth:</w:t>
      </w:r>
      <w:r>
        <w:t xml:space="preserve"> </w:t>
      </w:r>
      <w:r>
        <w:t xml:space="preserve">Total sales reached $1.85M USD, representing a 42% increase from Q2 and 67% above Q3 2022. This growth is directly attributed to our focused strategy in Medellín's high-value market segments.</w:t>
      </w:r>
    </w:p>
    <w:p>
      <w:pPr>
        <w:numPr>
          <w:ilvl w:val="0"/>
          <w:numId w:val="1001"/>
        </w:numPr>
        <w:pStyle w:val="Compact"/>
      </w:pPr>
      <w:r>
        <w:rPr>
          <w:bCs/>
          <w:b/>
        </w:rPr>
        <w:t xml:space="preserve">New Client Acquisition:</w:t>
      </w:r>
      <w:r>
        <w:t xml:space="preserve"> </w:t>
      </w:r>
      <w:r>
        <w:t xml:space="preserve">Secured 19 new contracts across residential, commercial, and social infrastructure sectors. Notable wins include the 'Parque Arví Mixed-Use Development' (220-unit luxury residences + community center) for Grupo Sura and the 'Laureles Sustainability Campus' for Universidad de Antioquia.</w:t>
      </w:r>
    </w:p>
    <w:p>
      <w:pPr>
        <w:numPr>
          <w:ilvl w:val="0"/>
          <w:numId w:val="1001"/>
        </w:numPr>
        <w:pStyle w:val="Compact"/>
      </w:pPr>
      <w:r>
        <w:rPr>
          <w:bCs/>
          <w:b/>
        </w:rPr>
        <w:t xml:space="preserve">Project Portfolio Expansion:</w:t>
      </w:r>
      <w:r>
        <w:t xml:space="preserve"> </w:t>
      </w:r>
      <w:r>
        <w:t xml:space="preserve">Increased our active project count in Medellín from 37 to 52, with an average project value of $148,000 USD—significantly above the regional average of $95,000 USD.</w:t>
      </w:r>
    </w:p>
    <w:p>
      <w:pPr>
        <w:numPr>
          <w:ilvl w:val="0"/>
          <w:numId w:val="1001"/>
        </w:numPr>
        <w:pStyle w:val="Compact"/>
      </w:pPr>
      <w:r>
        <w:rPr>
          <w:bCs/>
          <w:b/>
        </w:rPr>
        <w:t xml:space="preserve">Municipal Partnerships:</w:t>
      </w:r>
      <w:r>
        <w:t xml:space="preserve"> </w:t>
      </w:r>
      <w:r>
        <w:t xml:space="preserve">Closed three major contracts with Medellín's municipal government for urban regeneration projects under the 'Medellín Creciendo' initiative, totaling $485,000 USD in architectural services.</w:t>
      </w:r>
    </w:p>
    <w:bookmarkEnd w:id="22"/>
    <w:bookmarkStart w:id="23" w:name="cultural-integration-as-a-sales-driver"/>
    <w:p>
      <w:pPr>
        <w:pStyle w:val="Heading2"/>
      </w:pPr>
      <w:r>
        <w:t xml:space="preserve">Cultural Integration as a Sales Driver</w:t>
      </w:r>
    </w:p>
    <w:p>
      <w:pPr>
        <w:pStyle w:val="FirstParagraph"/>
      </w:pPr>
      <w:r>
        <w:t xml:space="preserve">Our success stems from understanding that effective Architect services in Colombia Medellín require more than technical excellence—they demand cultural fluency. We've implemented three key differentiators:</w:t>
      </w:r>
    </w:p>
    <w:p>
      <w:pPr>
        <w:numPr>
          <w:ilvl w:val="0"/>
          <w:numId w:val="1002"/>
        </w:numPr>
        <w:pStyle w:val="Compact"/>
      </w:pPr>
      <w:r>
        <w:rPr>
          <w:bCs/>
          <w:b/>
        </w:rPr>
        <w:t xml:space="preserve">Local Material Sourcing Strategy:</w:t>
      </w:r>
      <w:r>
        <w:t xml:space="preserve"> </w:t>
      </w:r>
      <w:r>
        <w:t xml:space="preserve">Partnering with Antioquian artisans for sustainable materials (e.g., locally quarried 'tezontle' stone, reclaimed wood from regional farms) reduced project costs by 18% while supporting the local economy—a feature highly valued by Medellín clients.</w:t>
      </w:r>
    </w:p>
    <w:p>
      <w:pPr>
        <w:numPr>
          <w:ilvl w:val="0"/>
          <w:numId w:val="1002"/>
        </w:numPr>
        <w:pStyle w:val="Compact"/>
      </w:pPr>
      <w:r>
        <w:rPr>
          <w:bCs/>
          <w:b/>
        </w:rPr>
        <w:t xml:space="preserve">Community-Centric Design Process:</w:t>
      </w:r>
      <w:r>
        <w:t xml:space="preserve"> </w:t>
      </w:r>
      <w:r>
        <w:t xml:space="preserve">For social housing projects in Comuna 13 and San Javier, our Architect team conducted neighborhood workshops with residents, incorporating their input into final designs. This approach increased client satisfaction scores to 97% (industry average: 82%).</w:t>
      </w:r>
    </w:p>
    <w:p>
      <w:pPr>
        <w:numPr>
          <w:ilvl w:val="0"/>
          <w:numId w:val="1002"/>
        </w:numPr>
        <w:pStyle w:val="Compact"/>
      </w:pPr>
      <w:r>
        <w:rPr>
          <w:bCs/>
          <w:b/>
        </w:rPr>
        <w:t xml:space="preserve">Regulatory Navigation Expertise:</w:t>
      </w:r>
      <w:r>
        <w:t xml:space="preserve"> </w:t>
      </w:r>
      <w:r>
        <w:t xml:space="preserve">Our Medellín-based legal/technical team streamlined permitting through the city's 'Unidad de Planeación Municipal,' reducing approval timelines by 35% compared to competitors.</w:t>
      </w:r>
    </w:p>
    <w:bookmarkEnd w:id="23"/>
    <w:bookmarkStart w:id="24" w:name="client-testimonials-market-validation"/>
    <w:p>
      <w:pPr>
        <w:pStyle w:val="Heading2"/>
      </w:pPr>
      <w:r>
        <w:t xml:space="preserve">Client Testimonials &amp; Market Validation</w:t>
      </w:r>
    </w:p>
    <w:p>
      <w:pPr>
        <w:pStyle w:val="FirstParagraph"/>
      </w:pPr>
      <w:r>
        <w:t xml:space="preserve">Recent client feedback underscores our market leadership:</w:t>
      </w:r>
    </w:p>
    <w:p>
      <w:pPr>
        <w:pStyle w:val="BlockText"/>
      </w:pPr>
      <w:r>
        <w:t xml:space="preserve">"</w:t>
      </w:r>
      <w:r>
        <w:rPr>
          <w:iCs/>
          <w:i/>
        </w:rPr>
        <w:t xml:space="preserve">The Architect team didn't just design our building—they understood Medellín's soul. Their integration of local craftsmanship into the Parque Arví project made it a community landmark, not just a residence. This is why we awarded them our next expansion phase.</w:t>
      </w:r>
      <w:r>
        <w:t xml:space="preserve">"</w:t>
      </w:r>
      <w:r>
        <w:br/>
      </w:r>
      <w:r>
        <w:rPr>
          <w:bCs/>
          <w:b/>
        </w:rPr>
        <w:t xml:space="preserve">- Carlos Vargas, CEO, Grupo Sura</w:t>
      </w:r>
    </w:p>
    <w:p>
      <w:pPr>
        <w:pStyle w:val="BlockText"/>
      </w:pPr>
      <w:r>
        <w:t xml:space="preserve">"</w:t>
      </w:r>
      <w:r>
        <w:rPr>
          <w:iCs/>
          <w:i/>
        </w:rPr>
        <w:t xml:space="preserve">As an architect for Medellín's municipal projects, I've seen many firms. Your team’s ability to balance technical innovation with cultural respect sets them apart in Colombia.</w:t>
      </w:r>
      <w:r>
        <w:t xml:space="preserve">"</w:t>
      </w:r>
      <w:r>
        <w:br/>
      </w:r>
      <w:r>
        <w:rPr>
          <w:bCs/>
          <w:b/>
        </w:rPr>
        <w:t xml:space="preserve">- Ana María López, Director of Urban Development, Medellín City Council</w:t>
      </w:r>
    </w:p>
    <w:bookmarkEnd w:id="24"/>
    <w:bookmarkStart w:id="25" w:name="challenges-in-the-colombian-market"/>
    <w:p>
      <w:pPr>
        <w:pStyle w:val="Heading2"/>
      </w:pPr>
      <w:r>
        <w:t xml:space="preserve">Challenges in the Colombian Market</w:t>
      </w:r>
    </w:p>
    <w:p>
      <w:pPr>
        <w:pStyle w:val="FirstParagraph"/>
      </w:pPr>
      <w:r>
        <w:t xml:space="preserve">Operating as an Architect firm in Colombia Medellín presents unique challenges we proactively address:</w:t>
      </w:r>
    </w:p>
    <w:p>
      <w:pPr>
        <w:numPr>
          <w:ilvl w:val="0"/>
          <w:numId w:val="1003"/>
        </w:numPr>
        <w:pStyle w:val="Compact"/>
      </w:pPr>
      <w:r>
        <w:rPr>
          <w:bCs/>
          <w:b/>
        </w:rPr>
        <w:t xml:space="preserve">Regulatory Complexity:</w:t>
      </w:r>
      <w:r>
        <w:t xml:space="preserve"> </w:t>
      </w:r>
      <w:r>
        <w:t xml:space="preserve">Navigating Colombia's 1,700+ local ordinances requires specialized knowledge. Our solution: Hiring 3 Medellín-born technical consultants who maintain relationships with municipal departments.</w:t>
      </w:r>
    </w:p>
    <w:p>
      <w:pPr>
        <w:numPr>
          <w:ilvl w:val="0"/>
          <w:numId w:val="1003"/>
        </w:numPr>
        <w:pStyle w:val="Compact"/>
      </w:pPr>
      <w:r>
        <w:rPr>
          <w:bCs/>
          <w:b/>
        </w:rPr>
        <w:t xml:space="preserve">Sustainability Pressures:</w:t>
      </w:r>
      <w:r>
        <w:t xml:space="preserve"> </w:t>
      </w:r>
      <w:r>
        <w:t xml:space="preserve">Client demand for LEED-certified projects in Medellín has surged by 200% since 2021. We've invested $150,000 in training our Architect staff on Colombian green building standards (NPS-463).</w:t>
      </w:r>
    </w:p>
    <w:bookmarkEnd w:id="25"/>
    <w:bookmarkStart w:id="26" w:name="strategic-initiatives-for-q4-2023"/>
    <w:p>
      <w:pPr>
        <w:pStyle w:val="Heading2"/>
      </w:pPr>
      <w:r>
        <w:t xml:space="preserve">Strategic Initiatives for Q4 2023</w:t>
      </w:r>
    </w:p>
    <w:p>
      <w:pPr>
        <w:pStyle w:val="FirstParagraph"/>
      </w:pPr>
      <w:r>
        <w:t xml:space="preserve">To sustain growth in Colombia Medellín, we're launching three targeted initiatives:</w:t>
      </w:r>
    </w:p>
    <w:p>
      <w:pPr>
        <w:numPr>
          <w:ilvl w:val="0"/>
          <w:numId w:val="1004"/>
        </w:numPr>
        <w:pStyle w:val="Compact"/>
      </w:pPr>
      <w:r>
        <w:rPr>
          <w:bCs/>
          <w:b/>
        </w:rPr>
        <w:t xml:space="preserve">'Arquitectura de Barrio' Program:</w:t>
      </w:r>
      <w:r>
        <w:t xml:space="preserve"> </w:t>
      </w:r>
      <w:r>
        <w:t xml:space="preserve">Free architectural consultations for neighborhood associations in underserved Comunas (13, 15, 20), positioning us as community partners while generating high-potential leads.</w:t>
      </w:r>
    </w:p>
    <w:p>
      <w:pPr>
        <w:numPr>
          <w:ilvl w:val="0"/>
          <w:numId w:val="1004"/>
        </w:numPr>
        <w:pStyle w:val="Compact"/>
      </w:pPr>
      <w:r>
        <w:rPr>
          <w:bCs/>
          <w:b/>
        </w:rPr>
        <w:t xml:space="preserve">Digital Twin Integration:</w:t>
      </w:r>
      <w:r>
        <w:t xml:space="preserve"> </w:t>
      </w:r>
      <w:r>
        <w:t xml:space="preserve">Implementing BIM (Building Information Modeling) for all Medellín projects to enhance client visualization—addressing a key request from 83% of new clients in our Q2 survey.</w:t>
      </w:r>
    </w:p>
    <w:p>
      <w:pPr>
        <w:numPr>
          <w:ilvl w:val="0"/>
          <w:numId w:val="1004"/>
        </w:numPr>
        <w:pStyle w:val="Compact"/>
      </w:pPr>
      <w:r>
        <w:rPr>
          <w:bCs/>
          <w:b/>
        </w:rPr>
        <w:t xml:space="preserve">University Partnerships:</w:t>
      </w:r>
      <w:r>
        <w:t xml:space="preserve"> </w:t>
      </w:r>
      <w:r>
        <w:t xml:space="preserve">Formal collaboration with Universidad EAFIT's School of Architecture for internship programs, ensuring we recruit talent deeply familiar with Medellín's urban fabric.</w:t>
      </w:r>
    </w:p>
    <w:bookmarkEnd w:id="26"/>
    <w:bookmarkStart w:id="27" w:name="X49d4d666b94bee6b7038b10d9301e3e8be35254"/>
    <w:p>
      <w:pPr>
        <w:pStyle w:val="Heading2"/>
      </w:pPr>
      <w:r>
        <w:t xml:space="preserve">Conclusion: Architectural Excellence in Colombia's Urban Heart</w:t>
      </w:r>
    </w:p>
    <w:p>
      <w:pPr>
        <w:pStyle w:val="FirstParagraph"/>
      </w:pPr>
      <w:r>
        <w:t xml:space="preserve">This Sales Report confirms that our strategic focus on Colombia Medellín has yielded exceptional returns. The city's commitment to architectural innovation—from its award-winning library parks to future-focused transportation corridors—creates fertile ground for firms like ours. As an Architect firm rooted in Medellín, we've moved beyond mere service provision to become active architects of the city's evolution. Our Q3 performance reflects not just sales growth, but a deepening partnership with Colombia's most dynamic urban center.</w:t>
      </w:r>
    </w:p>
    <w:p>
      <w:pPr>
        <w:pStyle w:val="BodyText"/>
      </w:pPr>
      <w:r>
        <w:t xml:space="preserve">Looking ahead, we project 2023 annual revenue to exceed $6.8M USD (a 45% YoY increase), driven by continued demand for Architect services that honor Medellín's cultural identity while advancing sustainable urbanism. The path forward remains clear: deepen our integration into Colombia Medellín's creative ecosystem, expand our community-centric design ethos, and maintain the technical excellence that makes us indispensable to clients navigating this extraordinary city's architectural future.</w:t>
      </w:r>
    </w:p>
    <w:p>
      <w:pPr>
        <w:pStyle w:val="BodyText"/>
      </w:pPr>
      <w:r>
        <w:rPr>
          <w:bCs/>
          <w:b/>
        </w:rPr>
        <w:t xml:space="preserve">Prepared by:</w:t>
      </w:r>
      <w:r>
        <w:t xml:space="preserve"> </w:t>
      </w:r>
      <w:r>
        <w:t xml:space="preserve">Global Design Solutions | Medellín Office</w:t>
      </w:r>
      <w:r>
        <w:br/>
      </w:r>
      <w:r>
        <w:rPr>
          <w:bCs/>
          <w:b/>
        </w:rPr>
        <w:t xml:space="preserve">Date:</w:t>
      </w:r>
      <w:r>
        <w:t xml:space="preserve"> </w:t>
      </w:r>
      <w:r>
        <w:t xml:space="preserve">October 26, 2023</w:t>
      </w:r>
      <w:r>
        <w:br/>
      </w:r>
      <w:r>
        <w:rPr>
          <w:bCs/>
          <w:b/>
        </w:rPr>
        <w:t xml:space="preserve">Report Scope:</w:t>
      </w:r>
      <w:r>
        <w:t xml:space="preserve"> </w:t>
      </w:r>
      <w:r>
        <w:t xml:space="preserve">Architectural Services Sales Performance for Colombia Medellín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Architect Sales Report - Q3 2023</dc:title>
  <dc:creator/>
  <dc:language>en</dc:language>
  <cp:keywords/>
  <dcterms:created xsi:type="dcterms:W3CDTF">2026-07-23T12:59:02Z</dcterms:created>
  <dcterms:modified xsi:type="dcterms:W3CDTF">2026-07-23T12:59:02Z</dcterms:modified>
</cp:coreProperties>
</file>

<file path=docProps/custom.xml><?xml version="1.0" encoding="utf-8"?>
<Properties xmlns="http://schemas.openxmlformats.org/officeDocument/2006/custom-properties" xmlns:vt="http://schemas.openxmlformats.org/officeDocument/2006/docPropsVTypes"/>
</file>