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Ethiopia</w:t>
      </w:r>
      <w:r>
        <w:t xml:space="preserve"> </w:t>
      </w:r>
      <w:r>
        <w:t xml:space="preserve">Addis</w:t>
      </w:r>
      <w:r>
        <w:t xml:space="preserve"> </w:t>
      </w:r>
      <w:r>
        <w:t xml:space="preserve">Ababa</w:t>
      </w:r>
      <w:r>
        <w:t xml:space="preserve"> </w:t>
      </w:r>
      <w:r>
        <w:t xml:space="preserve">Architect</w:t>
      </w:r>
      <w:r>
        <w:t xml:space="preserve"> </w:t>
      </w:r>
      <w:r>
        <w:t xml:space="preserve">Sales</w:t>
      </w:r>
      <w:r>
        <w:t xml:space="preserve"> </w:t>
      </w:r>
      <w:r>
        <w:t xml:space="preserve">Report</w:t>
      </w:r>
    </w:p>
    <w:bookmarkStart w:id="28" w:name="X01f90dd7b2677e288fcd3f84de0e41ac676eedf"/>
    <w:p>
      <w:pPr>
        <w:pStyle w:val="Heading1"/>
      </w:pPr>
      <w:r>
        <w:t xml:space="preserve">2023 Annual Sales Report: Architect Firm Performance in Ethiopia Addis Ababa</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architectural firm, [Firm Name], across Ethiopia Addis Ababa during the fiscal year 2023. As a leading Architect practice serving Ethiopia's rapidly evolving urban landscape, we have navigated unique market dynamics while delivering projects that align with national development priorities. The report demonstrates strong growth in project acquisitions, client retention, and strategic positioning within Addis Ababa's construction ecosystem – establishing our firm as a pivotal partner for sustainable architectural solutions in Ethiopia.</w:t>
      </w:r>
    </w:p>
    <w:bookmarkEnd w:id="20"/>
    <w:bookmarkStart w:id="21" w:name="X2695b1bba367a35be5ad512a8a0e6891775e291"/>
    <w:p>
      <w:pPr>
        <w:pStyle w:val="Heading2"/>
      </w:pPr>
      <w:r>
        <w:t xml:space="preserve">Market Context: Architectural Demand in Addis Ababa</w:t>
      </w:r>
    </w:p>
    <w:p>
      <w:pPr>
        <w:pStyle w:val="FirstParagraph"/>
      </w:pPr>
      <w:r>
        <w:t xml:space="preserve">Addis Ababa continues to serve as Ethiopia's primary economic engine, with urban population growth exceeding 4.5% annually. This demographic surge has intensified demand for professionally designed infrastructure across residential, commercial, and public sectors. As an Architect firm deeply embedded in the Ethiopian context, we recognize that our success hinges on understanding local cultural nuances while integrating international best practices. The government's "Vision 2030" development plan prioritizes modern urban planning, creating unprecedented opportunities for skilled Architect professionals. Our Sales Report confirms a 32% YoY increase in project inquiries from both public institutions and private developers specifically seeking Ethiopian-registered Architect firms with Addis Ababa operational expertise.</w:t>
      </w:r>
    </w:p>
    <w:bookmarkEnd w:id="21"/>
    <w:bookmarkStart w:id="22" w:name="sales-performance-analysis"/>
    <w:p>
      <w:pPr>
        <w:pStyle w:val="Heading2"/>
      </w:pPr>
      <w:r>
        <w:t xml:space="preserve">Sales Performance Analysis</w:t>
      </w:r>
    </w:p>
    <w:p>
      <w:pPr>
        <w:pStyle w:val="FirstParagraph"/>
      </w:pPr>
      <w:r>
        <w:t xml:space="preserve">Our 2023 sales pipeline reflects robust growth across all segments:</w:t>
      </w:r>
    </w:p>
    <w:p>
      <w:pPr>
        <w:numPr>
          <w:ilvl w:val="0"/>
          <w:numId w:val="1001"/>
        </w:numPr>
        <w:pStyle w:val="Compact"/>
      </w:pPr>
      <w:r>
        <w:rPr>
          <w:bCs/>
          <w:b/>
        </w:rPr>
        <w:t xml:space="preserve">Project Acquisition:</w:t>
      </w:r>
      <w:r>
        <w:t xml:space="preserve"> </w:t>
      </w:r>
      <w:r>
        <w:t xml:space="preserve">Secured 17 new contracts valued at ETB 148 million (approx. $3.5M USD), representing a 28% increase over 2022</w:t>
      </w:r>
    </w:p>
    <w:p>
      <w:pPr>
        <w:numPr>
          <w:ilvl w:val="0"/>
          <w:numId w:val="1001"/>
        </w:numPr>
        <w:pStyle w:val="Compact"/>
      </w:pPr>
      <w:r>
        <w:rPr>
          <w:bCs/>
          <w:b/>
        </w:rPr>
        <w:t xml:space="preserve">Key Clients:</w:t>
      </w:r>
      <w:r>
        <w:t xml:space="preserve"> </w:t>
      </w:r>
      <w:r>
        <w:t xml:space="preserve">Expanded relationships with Addis Ababa City Administration, Ethiopian Roads Authority, and major private developers including Awash International Bank and Bole International Airport expansion partners</w:t>
      </w:r>
    </w:p>
    <w:p>
      <w:pPr>
        <w:numPr>
          <w:ilvl w:val="0"/>
          <w:numId w:val="1001"/>
        </w:numPr>
        <w:pStyle w:val="Compact"/>
      </w:pPr>
      <w:r>
        <w:rPr>
          <w:bCs/>
          <w:b/>
        </w:rPr>
        <w:t xml:space="preserve">Project Types:</w:t>
      </w:r>
      <w:r>
        <w:t xml:space="preserve"> </w:t>
      </w:r>
      <w:r>
        <w:t xml:space="preserve">55% residential complexes (including middle-income housing), 30% commercial developments (hotels, offices), 15% public infrastructure (schools, health centers)</w:t>
      </w:r>
    </w:p>
    <w:p>
      <w:pPr>
        <w:numPr>
          <w:ilvl w:val="0"/>
          <w:numId w:val="1001"/>
        </w:numPr>
        <w:pStyle w:val="Compact"/>
      </w:pPr>
      <w:r>
        <w:rPr>
          <w:bCs/>
          <w:b/>
        </w:rPr>
        <w:t xml:space="preserve">Client Retention:</w:t>
      </w:r>
      <w:r>
        <w:t xml:space="preserve"> </w:t>
      </w:r>
      <w:r>
        <w:t xml:space="preserve">Achieved 92% repeat client rate – a critical metric demonstrating our Architect firm's reliability in the Ethiopian market</w:t>
      </w:r>
    </w:p>
    <w:p>
      <w:pPr>
        <w:pStyle w:val="FirstParagraph"/>
      </w:pPr>
      <w:r>
        <w:t xml:space="preserve">A standout success was our award-winning design for the Addis Ababa Youth Innovation Hub (AAI Hub), securing a ETB 45 million contract through competitive bidding. This project exemplifies how our Architect team successfully balanced traditional Ethiopian architectural elements with contemporary sustainable design principles required by international funding partners.</w:t>
      </w:r>
    </w:p>
    <w:bookmarkEnd w:id="22"/>
    <w:bookmarkStart w:id="23" w:name="X836eeff9a222aea4093ca6c7434fb915cff5b6c"/>
    <w:p>
      <w:pPr>
        <w:pStyle w:val="Heading2"/>
      </w:pPr>
      <w:r>
        <w:t xml:space="preserve">Challenges in Ethiopia Addis Ababa Market</w:t>
      </w:r>
    </w:p>
    <w:p>
      <w:pPr>
        <w:pStyle w:val="FirstParagraph"/>
      </w:pPr>
      <w:r>
        <w:t xml:space="preserve">Operating as an Architect firm in Addis Ababa presents unique commercial challenges documented in this Sales Report:</w:t>
      </w:r>
    </w:p>
    <w:p>
      <w:pPr>
        <w:numPr>
          <w:ilvl w:val="0"/>
          <w:numId w:val="1002"/>
        </w:numPr>
        <w:pStyle w:val="Compact"/>
      </w:pPr>
      <w:r>
        <w:rPr>
          <w:bCs/>
          <w:b/>
        </w:rPr>
        <w:t xml:space="preserve">Supply Chain Disruptions:</w:t>
      </w:r>
      <w:r>
        <w:t xml:space="preserve"> </w:t>
      </w:r>
      <w:r>
        <w:t xml:space="preserve">40% of projects experienced delays due to imported material shortages (particularly steel and glazing), impacting our delivery timelines</w:t>
      </w:r>
    </w:p>
    <w:p>
      <w:pPr>
        <w:numPr>
          <w:ilvl w:val="0"/>
          <w:numId w:val="1002"/>
        </w:numPr>
        <w:pStyle w:val="Compact"/>
      </w:pPr>
      <w:r>
        <w:rPr>
          <w:bCs/>
          <w:b/>
        </w:rPr>
        <w:t xml:space="preserve">Currency Volatility:</w:t>
      </w:r>
      <w:r>
        <w:t xml:space="preserve"> </w:t>
      </w:r>
      <w:r>
        <w:t xml:space="preserve">Fluctuations in ETB/USD exchange rates created margin uncertainty for foreign-funded projects, requiring dynamic pricing strategies</w:t>
      </w:r>
    </w:p>
    <w:p>
      <w:pPr>
        <w:numPr>
          <w:ilvl w:val="0"/>
          <w:numId w:val="1002"/>
        </w:numPr>
        <w:pStyle w:val="Compact"/>
      </w:pPr>
      <w:r>
        <w:rPr>
          <w:bCs/>
          <w:b/>
        </w:rPr>
        <w:t xml:space="preserve">Regulatory Complexity:</w:t>
      </w:r>
      <w:r>
        <w:t xml:space="preserve"> </w:t>
      </w:r>
      <w:r>
        <w:t xml:space="preserve">Navigating Ethiopia's evolving building codes and land acquisition processes demanded significant client education efforts by our Architect sales team</w:t>
      </w:r>
    </w:p>
    <w:p>
      <w:pPr>
        <w:pStyle w:val="FirstParagraph"/>
      </w:pPr>
      <w:r>
        <w:t xml:space="preserve">The Sales Report analysis confirms that our firm mitigated these challenges through two key strategies: (1) establishing strategic partnerships with local material suppliers to secure 25% more consistent delivery schedules, and (2) implementing Ethiopia-specific financial hedging protocols for all international contracts.</w:t>
      </w:r>
    </w:p>
    <w:bookmarkEnd w:id="23"/>
    <w:bookmarkStart w:id="24" w:name="X5bea46b734f0d463bf8e6791ce7253b3732dd5d"/>
    <w:p>
      <w:pPr>
        <w:pStyle w:val="Heading2"/>
      </w:pPr>
      <w:r>
        <w:t xml:space="preserve">Strategic Initiatives Driving Sales Growth</w:t>
      </w:r>
    </w:p>
    <w:p>
      <w:pPr>
        <w:pStyle w:val="FirstParagraph"/>
      </w:pPr>
      <w:r>
        <w:t xml:space="preserve">Our Architect sales team implemented targeted initiatives that directly contributed to market share expansion:</w:t>
      </w:r>
    </w:p>
    <w:p>
      <w:pPr>
        <w:numPr>
          <w:ilvl w:val="0"/>
          <w:numId w:val="1003"/>
        </w:numPr>
        <w:pStyle w:val="Compact"/>
      </w:pPr>
      <w:r>
        <w:rPr>
          <w:bCs/>
          <w:b/>
        </w:rPr>
        <w:t xml:space="preserve">Addis Ababa Community Engagement Program:</w:t>
      </w:r>
      <w:r>
        <w:t xml:space="preserve"> </w:t>
      </w:r>
      <w:r>
        <w:t xml:space="preserve">Hosted 12 public design workshops across neighborhoods (including Yeka and Akaki-Kality sub-cities), generating 37 qualified leads for residential projects</w:t>
      </w:r>
    </w:p>
    <w:p>
      <w:pPr>
        <w:numPr>
          <w:ilvl w:val="0"/>
          <w:numId w:val="1003"/>
        </w:numPr>
        <w:pStyle w:val="Compact"/>
      </w:pPr>
      <w:r>
        <w:rPr>
          <w:bCs/>
          <w:b/>
        </w:rPr>
        <w:t xml:space="preserve">Digital Sales Platform Launch:</w:t>
      </w:r>
      <w:r>
        <w:t xml:space="preserve"> </w:t>
      </w:r>
      <w:r>
        <w:t xml:space="preserve">Developed Ethiopia-specific mobile application allowing clients to access Architect services in Amharic, Oromo, and English – increasing online inquiries by 65%</w:t>
      </w:r>
    </w:p>
    <w:p>
      <w:pPr>
        <w:numPr>
          <w:ilvl w:val="0"/>
          <w:numId w:val="1003"/>
        </w:numPr>
        <w:pStyle w:val="Compact"/>
      </w:pPr>
      <w:r>
        <w:rPr>
          <w:bCs/>
          <w:b/>
        </w:rPr>
        <w:t xml:space="preserve">Government Partnership Framework:</w:t>
      </w:r>
      <w:r>
        <w:t xml:space="preserve"> </w:t>
      </w:r>
      <w:r>
        <w:t xml:space="preserve">Formalized Memoranda of Understanding with Addis Ababa Housing Agency and City Planning Department for priority project allocation</w:t>
      </w:r>
    </w:p>
    <w:p>
      <w:pPr>
        <w:numPr>
          <w:ilvl w:val="0"/>
          <w:numId w:val="1003"/>
        </w:numPr>
        <w:pStyle w:val="Compact"/>
      </w:pPr>
      <w:r>
        <w:rPr>
          <w:bCs/>
          <w:b/>
        </w:rPr>
        <w:t xml:space="preserve">Sustainable Design Certification Drive:</w:t>
      </w:r>
      <w:r>
        <w:t xml:space="preserve"> </w:t>
      </w:r>
      <w:r>
        <w:t xml:space="preserve">Achieved 100% of new projects targeting LEED or Ethiopia Green Building Council certifications, a key differentiator for public-sector clients</w:t>
      </w:r>
    </w:p>
    <w:bookmarkEnd w:id="24"/>
    <w:bookmarkStart w:id="25" w:name="financial-performance-highlights"/>
    <w:p>
      <w:pPr>
        <w:pStyle w:val="Heading2"/>
      </w:pPr>
      <w:r>
        <w:t xml:space="preserve">Financial Performance Highlights</w:t>
      </w:r>
    </w:p>
    <w:p>
      <w:pPr>
        <w:pStyle w:val="FirstParagraph"/>
      </w:pPr>
      <w:r>
        <w:t xml:space="preserve">The Sales Report confirms our firm achieved:</w:t>
      </w:r>
    </w:p>
    <w:p>
      <w:pPr>
        <w:pStyle w:val="BodyText"/>
      </w:pPr>
      <w:r>
        <w:t xml:space="preserve">Category</w:t>
      </w:r>
    </w:p>
    <w:p>
      <w:pPr>
        <w:pStyle w:val="BodyText"/>
      </w:pPr>
      <w:r>
        <w:t xml:space="preserve">2023 Value (ETB)</w:t>
      </w:r>
    </w:p>
    <w:p>
      <w:pPr>
        <w:pStyle w:val="BodyText"/>
      </w:pPr>
      <w:r>
        <w:t xml:space="preserve">Change vs 2022</w:t>
      </w:r>
    </w:p>
    <w:p>
      <w:pPr>
        <w:pStyle w:val="BodyText"/>
      </w:pPr>
      <w:r>
        <w:t xml:space="preserve">Total Project Revenue</w:t>
      </w:r>
    </w:p>
    <w:p>
      <w:pPr>
        <w:pStyle w:val="BodyText"/>
      </w:pPr>
      <w:r>
        <w:t xml:space="preserve">148,000,000</w:t>
      </w:r>
    </w:p>
    <w:p>
      <w:pPr>
        <w:pStyle w:val="BodyText"/>
      </w:pPr>
      <w:r>
        <w:t xml:space="preserve">+28%</w:t>
      </w:r>
    </w:p>
    <w:p>
      <w:pPr>
        <w:pStyle w:val="BodyText"/>
      </w:pPr>
      <w:r>
        <w:t xml:space="preserve">New Client Acquisition Cost</w:t>
      </w:r>
    </w:p>
    <w:p>
      <w:pPr>
        <w:pStyle w:val="BodyText"/>
      </w:pPr>
      <w:r>
        <w:t xml:space="preserve">5,753,241</w:t>
      </w:r>
    </w:p>
    <w:p>
      <w:pPr>
        <w:pStyle w:val="BodyText"/>
      </w:pPr>
      <w:r>
        <w:t xml:space="preserve">-12% (improved efficiency)</w:t>
      </w:r>
    </w:p>
    <w:p>
      <w:pPr>
        <w:pStyle w:val="BodyText"/>
      </w:pPr>
      <w:r>
        <w:t xml:space="preserve">Average Project Value</w:t>
      </w:r>
    </w:p>
    <w:p>
      <w:pPr>
        <w:pStyle w:val="BodyText"/>
      </w:pPr>
      <w:r>
        <w:t xml:space="preserve">8,705,882</w:t>
      </w:r>
    </w:p>
    <w:p>
      <w:pPr>
        <w:pStyle w:val="BodyText"/>
      </w:pPr>
      <w:r>
        <w:t xml:space="preserve">+19%</w:t>
      </w:r>
    </w:p>
    <w:p>
      <w:pPr>
        <w:pStyle w:val="BodyText"/>
      </w:pPr>
      <w:r>
        <w:t xml:space="preserve">Profit Margin</w:t>
      </w:r>
    </w:p>
    <w:p>
      <w:pPr>
        <w:pStyle w:val="BodyText"/>
      </w:pPr>
      <w:r>
        <w:t xml:space="preserve">24.3%</w:t>
      </w:r>
    </w:p>
    <w:p>
      <w:pPr>
        <w:pStyle w:val="BodyText"/>
      </w:pPr>
      <w:r>
        <w:t xml:space="preserve">+3.1% points</w:t>
      </w:r>
    </w:p>
    <w:bookmarkEnd w:id="25"/>
    <w:bookmarkStart w:id="26" w:name="Xbbe5d752661dfc7a4b6ed7130475e4f63c44e3b"/>
    <w:p>
      <w:pPr>
        <w:pStyle w:val="Heading2"/>
      </w:pPr>
      <w:r>
        <w:t xml:space="preserve">Future Outlook for Architect Sales in Addis Ababa</w:t>
      </w:r>
    </w:p>
    <w:p>
      <w:pPr>
        <w:pStyle w:val="FirstParagraph"/>
      </w:pPr>
      <w:r>
        <w:t xml:space="preserve">Based on Ethiopia's national development roadmap, we project sustained growth through 2024:</w:t>
      </w:r>
    </w:p>
    <w:p>
      <w:pPr>
        <w:numPr>
          <w:ilvl w:val="0"/>
          <w:numId w:val="1004"/>
        </w:numPr>
        <w:pStyle w:val="Compact"/>
      </w:pPr>
      <w:r>
        <w:rPr>
          <w:bCs/>
          <w:b/>
        </w:rPr>
        <w:t xml:space="preserve">Infrastructure Boom:</w:t>
      </w:r>
      <w:r>
        <w:t xml:space="preserve"> </w:t>
      </w:r>
      <w:r>
        <w:t xml:space="preserve">Government prioritization of the Addis Ababa Light Rail expansion (Phase II) and new international airport terminal will generate ETB 5.8 billion in Architect services</w:t>
      </w:r>
    </w:p>
    <w:p>
      <w:pPr>
        <w:numPr>
          <w:ilvl w:val="0"/>
          <w:numId w:val="1004"/>
        </w:numPr>
        <w:pStyle w:val="Compact"/>
      </w:pPr>
      <w:r>
        <w:rPr>
          <w:bCs/>
          <w:b/>
        </w:rPr>
        <w:t xml:space="preserve">Urban Renewal Focus:</w:t>
      </w:r>
      <w:r>
        <w:t xml:space="preserve"> </w:t>
      </w:r>
      <w:r>
        <w:t xml:space="preserve">City Administration's "Addis Ababa Revitalization Initiative" targeting historic districts creates demand for culturally-sensitive Architect solutions</w:t>
      </w:r>
    </w:p>
    <w:p>
      <w:pPr>
        <w:numPr>
          <w:ilvl w:val="0"/>
          <w:numId w:val="1004"/>
        </w:numPr>
        <w:pStyle w:val="Compact"/>
      </w:pPr>
      <w:r>
        <w:rPr>
          <w:bCs/>
          <w:b/>
        </w:rPr>
        <w:t xml:space="preserve">Sustainability Mandates:</w:t>
      </w:r>
      <w:r>
        <w:t xml:space="preserve"> </w:t>
      </w:r>
      <w:r>
        <w:t xml:space="preserve">New Ethiopian building codes requiring 30% energy efficiency will position our certified Architect team as essential partners</w:t>
      </w:r>
    </w:p>
    <w:p>
      <w:pPr>
        <w:numPr>
          <w:ilvl w:val="0"/>
          <w:numId w:val="1004"/>
        </w:numPr>
        <w:pStyle w:val="Compact"/>
      </w:pPr>
      <w:r>
        <w:rPr>
          <w:bCs/>
          <w:b/>
        </w:rPr>
        <w:t xml:space="preserve">Export Potential:</w:t>
      </w:r>
      <w:r>
        <w:t xml:space="preserve"> </w:t>
      </w:r>
      <w:r>
        <w:t xml:space="preserve">Growing interest from East African Community nations in Addis Ababa's architectural expertise presents international sales opportunities</w:t>
      </w:r>
    </w:p>
    <w:p>
      <w:pPr>
        <w:pStyle w:val="FirstParagraph"/>
      </w:pPr>
      <w:r>
        <w:t xml:space="preserve">This Sales Report concludes that our firm's deep understanding of Ethiopia Addis Ababa's architectural needs – combined with strategic adaptation to local market realities – positions us for continued leadership. As we move into 2024, we will double down on our core strengths: Ethiopian cultural intelligence, sustainable design execution, and client-centric service delivery that meets the unique demands of Addis Ababa's development trajectory.</w:t>
      </w:r>
    </w:p>
    <w:bookmarkEnd w:id="26"/>
    <w:bookmarkStart w:id="27" w:name="conclusion"/>
    <w:p>
      <w:pPr>
        <w:pStyle w:val="Heading2"/>
      </w:pPr>
      <w:r>
        <w:t xml:space="preserve">Conclusion</w:t>
      </w:r>
    </w:p>
    <w:p>
      <w:pPr>
        <w:pStyle w:val="FirstParagraph"/>
      </w:pPr>
      <w:r>
        <w:t xml:space="preserve">As a premier Architect firm operating across Ethiopia Addis Ababa, we have demonstrated exceptional sales performance while navigating the complexities of Ethiopia's emerging market. Our 2023 Sales Report proves that by embedding our services within the national development narrative and maintaining unwavering commitment to Ethiopian design excellence, we create sustainable growth for both our business and Ethiopia's urban future. The path forward requires continued investment in local talent development – particularly in Addis Ababa's architectural education institutions – to ensure a pipeline of skilled professionals who understand both global standards and Ethiopia-specific requirements. This Sales Report serves as both an achievement milestone and a strategic roadmap, affirming our role as trusted partners for Ethiopia's architectural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 Addis Ababa Architect Sales Report</dc:title>
  <dc:creator/>
  <dc:language>en</dc:language>
  <cp:keywords/>
  <dcterms:created xsi:type="dcterms:W3CDTF">2026-07-21T03:38:22Z</dcterms:created>
  <dcterms:modified xsi:type="dcterms:W3CDTF">2026-07-21T03:38:22Z</dcterms:modified>
</cp:coreProperties>
</file>

<file path=docProps/custom.xml><?xml version="1.0" encoding="utf-8"?>
<Properties xmlns="http://schemas.openxmlformats.org/officeDocument/2006/custom-properties" xmlns:vt="http://schemas.openxmlformats.org/officeDocument/2006/docPropsVTypes"/>
</file>