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Lyon</w:t>
      </w:r>
      <w:r>
        <w:t xml:space="preserve"> </w:t>
      </w:r>
      <w:r>
        <w:t xml:space="preserve">Architectural</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6b289d2f0d9a453cce9c196a99485f7043af5cf"/>
    <w:p>
      <w:pPr>
        <w:pStyle w:val="Heading1"/>
      </w:pPr>
      <w:r>
        <w:t xml:space="preserve">Architectural Sales Performance Report: Lyon Market Focus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July 1 - September 30, 2024</w:t>
      </w:r>
      <w:r>
        <w:br/>
      </w:r>
      <w:r>
        <w:rPr>
          <w:bCs/>
          <w:b/>
        </w:rPr>
        <w:t xml:space="preserve">Coverage Area:</w:t>
      </w:r>
      <w:r>
        <w:t xml:space="preserve"> </w:t>
      </w:r>
      <w:r>
        <w:t xml:space="preserve">France Lyon Metropolitan Region</w:t>
      </w:r>
    </w:p>
    <w:bookmarkStart w:id="20" w:name="i.-executive-summary"/>
    <w:p>
      <w:pPr>
        <w:pStyle w:val="Heading2"/>
      </w:pPr>
      <w:r>
        <w:t xml:space="preserve">I. Executive Summary</w:t>
      </w:r>
    </w:p>
    <w:p>
      <w:pPr>
        <w:pStyle w:val="FirstParagraph"/>
      </w:pPr>
      <w:r>
        <w:t xml:space="preserve">The Architectural Sales Division for France Lyon achieved remarkable growth during Q3 2024, surpassing quarterly targets by 18.7% with a total revenue of €1,985,000 from design and implementation services. This success stems from strategic positioning within Lyon's dynamic urban development landscape, where demand for sustainable and culturally resonant architectural solutions continues to accelerate. As the leading Architect firm in the Rhône-Alpes region, our ability to navigate France's complex regulatory frameworks while delivering innovative projects has cemented our market leadership position.</w:t>
      </w:r>
    </w:p>
    <w:bookmarkEnd w:id="20"/>
    <w:bookmarkStart w:id="21" w:name="ii.-key-performance-indicators-q3-2024"/>
    <w:p>
      <w:pPr>
        <w:pStyle w:val="Heading2"/>
      </w:pPr>
      <w:r>
        <w:t xml:space="preserve">II. Key Performance Indicators (Q3 2024)</w:t>
      </w:r>
    </w:p>
    <w:p>
      <w:pPr>
        <w:pStyle w:val="FirstParagraph"/>
      </w:pPr>
      <w:r>
        <w:t xml:space="preserve">Metric</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Total Sales Revenue (€)</w:t>
      </w:r>
    </w:p>
    <w:p>
      <w:pPr>
        <w:pStyle w:val="BodyText"/>
      </w:pPr>
      <w:r>
        <w:t xml:space="preserve">1,675,000</w:t>
      </w:r>
    </w:p>
    <w:p>
      <w:pPr>
        <w:pStyle w:val="BodyText"/>
      </w:pPr>
      <w:r>
        <w:t xml:space="preserve">1,985,000</w:t>
      </w:r>
    </w:p>
    <w:p>
      <w:pPr>
        <w:pStyle w:val="BodyText"/>
      </w:pPr>
      <w:r>
        <w:t xml:space="preserve">+18.7%</w:t>
      </w:r>
    </w:p>
    <w:p>
      <w:pPr>
        <w:pStyle w:val="BodyText"/>
      </w:pPr>
      <w:r>
        <w:t xml:space="preserve">New Client Acquisition</w:t>
      </w:r>
    </w:p>
    <w:p>
      <w:pPr>
        <w:pStyle w:val="BodyText"/>
      </w:pPr>
      <w:r>
        <w:t xml:space="preserve">24</w:t>
      </w:r>
    </w:p>
    <w:p>
      <w:pPr>
        <w:pStyle w:val="BodyText"/>
      </w:pPr>
      <w:r>
        <w:t xml:space="preserve">&lt;</w:t>
      </w:r>
    </w:p>
    <w:p>
      <w:pPr>
        <w:pStyle w:val="BodyText"/>
      </w:pPr>
      <w:r>
        <w:t xml:space="preserve">32</w:t>
      </w:r>
    </w:p>
    <w:p>
      <w:pPr>
        <w:pStyle w:val="BodyText"/>
      </w:pPr>
      <w:r>
        <w:t xml:space="preserve">+33.3%</w:t>
      </w:r>
    </w:p>
    <w:p>
      <w:pPr>
        <w:pStyle w:val="BodyText"/>
      </w:pPr>
      <w:r>
        <w:t xml:space="preserve">&lt;</w:t>
      </w:r>
    </w:p>
    <w:p>
      <w:pPr>
        <w:pStyle w:val="BodyText"/>
      </w:pPr>
      <w:r>
        <w:t xml:space="preserve">5,200,000</w:t>
      </w:r>
    </w:p>
    <w:p>
      <w:pPr>
        <w:pStyle w:val="BodyText"/>
      </w:pPr>
      <w:r>
        <w:t xml:space="preserve">&lt;</w:t>
      </w:r>
    </w:p>
    <w:p>
      <w:pPr>
        <w:pStyle w:val="BodyText"/>
      </w:pPr>
      <w:r>
        <w:t xml:space="preserve">6,150,000</w:t>
      </w:r>
    </w:p>
    <w:p>
      <w:pPr>
        <w:pStyle w:val="BodyText"/>
      </w:pPr>
      <w:r>
        <w:t xml:space="preserve">+18.3%</w:t>
      </w:r>
    </w:p>
    <w:p>
      <w:pPr>
        <w:pStyle w:val="BodyText"/>
      </w:pPr>
      <w:r>
        <w:t xml:space="preserve">78%</w:t>
      </w:r>
    </w:p>
    <w:p>
      <w:pPr>
        <w:pStyle w:val="BodyText"/>
      </w:pPr>
      <w:r>
        <w:t xml:space="preserve">86%</w:t>
      </w:r>
    </w:p>
    <w:p>
      <w:pPr>
        <w:pStyle w:val="BodyText"/>
      </w:pPr>
      <w:r>
        <w:t xml:space="preserve">+8.4pp</w:t>
      </w:r>
    </w:p>
    <w:bookmarkEnd w:id="21"/>
    <w:bookmarkStart w:id="22" w:name="X1951642413eeaab5221e0935559e40f59a509bd"/>
    <w:p>
      <w:pPr>
        <w:pStyle w:val="Heading2"/>
      </w:pPr>
      <w:r>
        <w:t xml:space="preserve">III. Lyon Market Analysis: Architectural Demand Drivers</w:t>
      </w:r>
    </w:p>
    <w:p>
      <w:pPr>
        <w:pStyle w:val="FirstParagraph"/>
      </w:pPr>
      <w:r>
        <w:t xml:space="preserve">Lyon's architectural market has experienced unprecedented momentum due to three key factors directly impacting our Sales Report:</w:t>
      </w:r>
    </w:p>
    <w:p>
      <w:pPr>
        <w:numPr>
          <w:ilvl w:val="0"/>
          <w:numId w:val="1001"/>
        </w:numPr>
        <w:pStyle w:val="Compact"/>
      </w:pPr>
      <w:r>
        <w:rPr>
          <w:bCs/>
          <w:b/>
        </w:rPr>
        <w:t xml:space="preserve">Urban Renewal Initiatives:</w:t>
      </w:r>
      <w:r>
        <w:t xml:space="preserve"> </w:t>
      </w:r>
      <w:r>
        <w:t xml:space="preserve">The city's ambitious "Lyon 2030" plan has accelerated projects in historically significant zones, including the UNESCO-listed Vieux Lyon and emerging districts like the Confluence. Our firm secured five major contracts for adaptive reuse of 19th-century industrial buildings along the Rhône River, demonstrating how our Architect expertise aligns with France's heritage preservation mandates.</w:t>
      </w:r>
    </w:p>
    <w:p>
      <w:pPr>
        <w:numPr>
          <w:ilvl w:val="0"/>
          <w:numId w:val="1001"/>
        </w:numPr>
        <w:pStyle w:val="Compact"/>
      </w:pPr>
      <w:r>
        <w:rPr>
          <w:bCs/>
          <w:b/>
        </w:rPr>
        <w:t xml:space="preserve">Sustainability Regulations:</w:t>
      </w:r>
      <w:r>
        <w:t xml:space="preserve"> </w:t>
      </w:r>
      <w:r>
        <w:t xml:space="preserve">With France's "Bâtiment à Énergie Positive" (BEPOS) requirements now standard for public projects, Lyon has seen a 40% surge in demand for eco-architectural services. Our firm led three public housing developments achieving BEPOS certification, directly contributing to €720,000 in new sales.</w:t>
      </w:r>
    </w:p>
    <w:p>
      <w:pPr>
        <w:numPr>
          <w:ilvl w:val="0"/>
          <w:numId w:val="1001"/>
        </w:numPr>
        <w:pStyle w:val="Compact"/>
      </w:pPr>
      <w:r>
        <w:rPr>
          <w:bCs/>
          <w:b/>
        </w:rPr>
        <w:t xml:space="preserve">Commercial Sector Expansion:</w:t>
      </w:r>
      <w:r>
        <w:t xml:space="preserve"> </w:t>
      </w:r>
      <w:r>
        <w:t xml:space="preserve">The influx of tech companies (including major European HQs) into Lyon's Part-Dieu district has driven demand for modern office spaces. Our Architect team designed the new headquarters for a fintech leader in the Croix-Rousse quarter, closing a €480,000 deal that included full architectural services and sustainable design consulting.</w:t>
      </w:r>
    </w:p>
    <w:bookmarkEnd w:id="22"/>
    <w:bookmarkStart w:id="23" w:name="iv.-regional-competitive-landscape"/>
    <w:p>
      <w:pPr>
        <w:pStyle w:val="Heading2"/>
      </w:pPr>
      <w:r>
        <w:t xml:space="preserve">IV. Regional Competitive Landscape</w:t>
      </w:r>
    </w:p>
    <w:p>
      <w:pPr>
        <w:pStyle w:val="FirstParagraph"/>
      </w:pPr>
      <w:r>
        <w:t xml:space="preserve">In France Lyon, we maintain a distinct competitive edge as an Architect firm with deep local knowledge:</w:t>
      </w:r>
    </w:p>
    <w:p>
      <w:pPr>
        <w:numPr>
          <w:ilvl w:val="0"/>
          <w:numId w:val="1002"/>
        </w:numPr>
        <w:pStyle w:val="Compact"/>
      </w:pPr>
      <w:r>
        <w:rPr>
          <w:bCs/>
          <w:b/>
        </w:rPr>
        <w:t xml:space="preserve">Local Regulatory Expertise:</w:t>
      </w:r>
      <w:r>
        <w:t xml:space="preserve"> </w:t>
      </w:r>
      <w:r>
        <w:t xml:space="preserve">Our Lyon-based team navigates the city's complex urban planning ordinances (e.g., "PLU" regulations) more effectively than national firms, reducing client project delays by 27% on average.</w:t>
      </w:r>
    </w:p>
    <w:p>
      <w:pPr>
        <w:numPr>
          <w:ilvl w:val="0"/>
          <w:numId w:val="1002"/>
        </w:numPr>
        <w:pStyle w:val="Compact"/>
      </w:pPr>
      <w:r>
        <w:rPr>
          <w:bCs/>
          <w:b/>
        </w:rPr>
        <w:t xml:space="preserve">Cultural Integration:</w:t>
      </w:r>
      <w:r>
        <w:t xml:space="preserve"> </w:t>
      </w:r>
      <w:r>
        <w:t xml:space="preserve">Unlike many Parisian Architect practices, we specialize in blending contemporary design with Lyon's unique architectural identity—seen in our award-winning renovation of the Musée des Confluences annex, which secured a €310,000 contract after winning a city-led tender.</w:t>
      </w:r>
    </w:p>
    <w:p>
      <w:pPr>
        <w:numPr>
          <w:ilvl w:val="0"/>
          <w:numId w:val="1002"/>
        </w:numPr>
        <w:pStyle w:val="Compact"/>
      </w:pPr>
      <w:r>
        <w:rPr>
          <w:bCs/>
          <w:b/>
        </w:rPr>
        <w:t xml:space="preserve">Sales Cycle Efficiency:</w:t>
      </w:r>
      <w:r>
        <w:t xml:space="preserve"> </w:t>
      </w:r>
      <w:r>
        <w:t xml:space="preserve">Our localized approach has shortened the architect-to-client sales cycle by 35% compared to regional competitors through rapid response to Lyon's public procurement processes and French-language client communications.</w:t>
      </w:r>
    </w:p>
    <w:bookmarkEnd w:id="23"/>
    <w:bookmarkStart w:id="24" w:name="v.-client-success-stories-lyon-focus"/>
    <w:p>
      <w:pPr>
        <w:pStyle w:val="Heading2"/>
      </w:pPr>
      <w:r>
        <w:t xml:space="preserve">V. Client Success Stories (Lyon Focus)</w:t>
      </w:r>
    </w:p>
    <w:p>
      <w:pPr>
        <w:pStyle w:val="FirstParagraph"/>
      </w:pPr>
      <w:r>
        <w:rPr>
          <w:bCs/>
          <w:b/>
        </w:rPr>
        <w:t xml:space="preserve">Project: Eco-Residential Complex, Saint-Paul District</w:t>
      </w:r>
    </w:p>
    <w:p>
      <w:pPr>
        <w:pStyle w:val="BodyText"/>
      </w:pPr>
      <w:r>
        <w:t xml:space="preserve">This €1.2M project for a Lyon-based developer required navigating strict zoning laws while creating 48 sustainable apartments. Our Architect-led sales team presented a holistic solution addressing energy efficiency, community space integration, and historic district compatibility—securing the contract within 6 weeks of initial contact.</w:t>
      </w:r>
    </w:p>
    <w:p>
      <w:pPr>
        <w:pStyle w:val="BodyText"/>
      </w:pPr>
      <w:r>
        <w:rPr>
          <w:bCs/>
          <w:b/>
        </w:rPr>
        <w:t xml:space="preserve">Project: Cultural Center Expansion, Vieux Lyon</w:t>
      </w:r>
    </w:p>
    <w:p>
      <w:pPr>
        <w:pStyle w:val="BodyText"/>
      </w:pPr>
      <w:r>
        <w:t xml:space="preserve">After winning an invitation-only tender from the City of Lyon for this landmark project (€950,000), our Architect team delivered a design that preserved 18th-century facades while adding modern exhibition spaces. The project's cultural significance contributed to a 22% increase in referral business from Lyon's arts community.</w:t>
      </w:r>
    </w:p>
    <w:bookmarkEnd w:id="24"/>
    <w:bookmarkStart w:id="25" w:name="X23cda0587626b8b14466d8e39e3af8ff691af85"/>
    <w:p>
      <w:pPr>
        <w:pStyle w:val="Heading2"/>
      </w:pPr>
      <w:r>
        <w:t xml:space="preserve">VI. Strategic Recommendations for Q4 2024</w:t>
      </w:r>
    </w:p>
    <w:p>
      <w:pPr>
        <w:pStyle w:val="FirstParagraph"/>
      </w:pPr>
      <w:r>
        <w:t xml:space="preserve">To maintain momentum in France Lyon, we propose:</w:t>
      </w:r>
    </w:p>
    <w:p>
      <w:pPr>
        <w:numPr>
          <w:ilvl w:val="0"/>
          <w:numId w:val="1003"/>
        </w:numPr>
        <w:pStyle w:val="Compact"/>
      </w:pPr>
      <w:r>
        <w:rPr>
          <w:bCs/>
          <w:b/>
        </w:rPr>
        <w:t xml:space="preserve">Expand Sustainable Architect Services:</w:t>
      </w:r>
      <w:r>
        <w:t xml:space="preserve"> </w:t>
      </w:r>
      <w:r>
        <w:t xml:space="preserve">Develop a specialized "BEPOS Certification Package" targeting Lyon's public sector projects, estimated to generate €850K in new sales.</w:t>
      </w:r>
    </w:p>
    <w:p>
      <w:pPr>
        <w:numPr>
          <w:ilvl w:val="0"/>
          <w:numId w:val="1003"/>
        </w:numPr>
        <w:pStyle w:val="Compact"/>
      </w:pPr>
      <w:r>
        <w:rPr>
          <w:bCs/>
          <w:b/>
        </w:rPr>
        <w:t xml:space="preserve">Leverage Expo 2025 Synergy:</w:t>
      </w:r>
      <w:r>
        <w:t xml:space="preserve"> </w:t>
      </w:r>
      <w:r>
        <w:t xml:space="preserve">Partner with Lyon's official World Exposition 2025 team to bid on infrastructure projects, aligning architectural services with France's largest global event since the Paris 1937 Exposition.</w:t>
      </w:r>
    </w:p>
    <w:p>
      <w:pPr>
        <w:numPr>
          <w:ilvl w:val="0"/>
          <w:numId w:val="1003"/>
        </w:numPr>
        <w:pStyle w:val="Compact"/>
      </w:pPr>
      <w:r>
        <w:rPr>
          <w:bCs/>
          <w:b/>
        </w:rPr>
        <w:t xml:space="preserve">Strengthen Local Network:</w:t>
      </w:r>
      <w:r>
        <w:t xml:space="preserve"> </w:t>
      </w:r>
      <w:r>
        <w:t xml:space="preserve">Deepen relationships with Lyon's urban planning department (Direction de l'Aménagement) through quarterly workshops on French architectural compliance standards.</w:t>
      </w:r>
    </w:p>
    <w:bookmarkEnd w:id="25"/>
    <w:bookmarkStart w:id="27" w:name="vii.-conclusion"/>
    <w:p>
      <w:pPr>
        <w:pStyle w:val="Heading2"/>
      </w:pPr>
      <w:r>
        <w:t xml:space="preserve">VII. Conclusion</w:t>
      </w:r>
    </w:p>
    <w:p>
      <w:pPr>
        <w:pStyle w:val="FirstParagraph"/>
      </w:pPr>
      <w:r>
        <w:t xml:space="preserve">The Q3 2024 Sales Report underscores our firm's dominance as a leading Architect practice within France Lyon. By combining deep local market understanding with innovative design services that meet France's evolving regulatory and sustainability demands, we've achieved exceptional results in a competitive environment. Our focus on culturally sensitive architecture—particularly in Lyon's historic districts—and strategic alignment with the city's urban development goals positions us uniquely to capitalize on the region's projected €2.1B architectural market growth through 2026.</w:t>
      </w:r>
    </w:p>
    <w:p>
      <w:pPr>
        <w:pStyle w:val="BodyText"/>
      </w:pPr>
      <w:r>
        <w:t xml:space="preserve">As Lyon continues its transformation into Europe's premier sustainable city, our Architect team remains committed to delivering solutions that balance heritage preservation with modern functionality. This commitment directly drives our sales performance and ensures we remain France's most trusted architectural partner for transformative urban projects.</w:t>
      </w:r>
    </w:p>
    <w:bookmarkStart w:id="26" w:name="report-prepared-by"/>
    <w:p>
      <w:pPr>
        <w:pStyle w:val="Heading3"/>
      </w:pPr>
      <w:r>
        <w:t xml:space="preserve">Report Prepared By:</w:t>
      </w:r>
    </w:p>
    <w:p>
      <w:pPr>
        <w:pStyle w:val="FirstParagraph"/>
      </w:pPr>
      <w:r>
        <w:t xml:space="preserve">Lucien Dubois, Director of Sales &amp; Strategy</w:t>
      </w:r>
      <w:r>
        <w:br/>
      </w:r>
      <w:r>
        <w:t xml:space="preserve">Lyon Architecture Collective (LAC)</w:t>
      </w:r>
      <w:r>
        <w:br/>
      </w:r>
      <w:r>
        <w:t xml:space="preserve">12 Rue des Terreaux, 69001 Lyon</w:t>
      </w:r>
    </w:p>
    <w:p>
      <w:pPr>
        <w:pStyle w:val="BodyText"/>
      </w:pPr>
      <w:r>
        <w:rPr>
          <w:iCs/>
          <w:i/>
        </w:rPr>
        <w:t xml:space="preserve">This document constitutes the official Sales Report for Architectural Services delivered within France Lyon metropolitan area. All figures represent fiscal Q3 2024 performance as verified by our accounting department.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Lyon Architectural Sales Report - Q3 2024</dc:title>
  <dc:creator/>
  <dc:language>en</dc:language>
  <cp:keywords/>
  <dcterms:created xsi:type="dcterms:W3CDTF">2025-12-04T18:45:38Z</dcterms:created>
  <dcterms:modified xsi:type="dcterms:W3CDTF">2025-12-04T18:45:38Z</dcterms:modified>
</cp:coreProperties>
</file>

<file path=docProps/custom.xml><?xml version="1.0" encoding="utf-8"?>
<Properties xmlns="http://schemas.openxmlformats.org/officeDocument/2006/custom-properties" xmlns:vt="http://schemas.openxmlformats.org/officeDocument/2006/docPropsVTypes"/>
</file>