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a72e0fada4a367dc483adf64316c0d2f32bb91e"/>
    <w:p>
      <w:pPr>
        <w:pStyle w:val="Heading1"/>
      </w:pPr>
      <w:r>
        <w:t xml:space="preserve">Sales Report: Architect Firm Performance Analysis for France Marseille Market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architectural services performance of our firm in the dynamic market of France Marseille. As a premier Architect practice operating within the cultural and economic heartland of Southern France, we have strategically navigated Marseille’s unique urban landscape to secure significant growth in both residential and commercial projects. This quarter marks a pivotal milestone with a 22% year-over-year increase in sales revenue specifically attributed to Marseille-based initiatives, solidifying our position as a trusted Architect partner for the city's evolving needs. The report underscores how our localized expertise, cultural sensitivity, and commitment to sustainable design principles have directly driven this success within France Marseille's competitive architectural sector.</w:t>
      </w:r>
    </w:p>
    <w:bookmarkEnd w:id="20"/>
    <w:bookmarkStart w:id="21" w:name="X8ab4c53b6daead812d9ade42edfadf8f1e7cb3a"/>
    <w:p>
      <w:pPr>
        <w:pStyle w:val="Heading2"/>
      </w:pPr>
      <w:r>
        <w:t xml:space="preserve">II. Market Context: Architecture Landscape in France Marseille</w:t>
      </w:r>
    </w:p>
    <w:p>
      <w:pPr>
        <w:pStyle w:val="FirstParagraph"/>
      </w:pPr>
      <w:r>
        <w:t xml:space="preserve">Marseille, France’s second-largest city and a UNESCO City of Design (2019), presents a vibrant yet complex environment for Architect practices. The market is characterized by high demand for adaptive reuse projects in historic districts like Le Panier and the Vieux-Port, significant public infrastructure investments (notably the Marseille-Provence Airport expansion), and growing emphasis on eco-conscious architecture due to Mediterranean climate challenges. Our firm has capitalized on these trends by positioning our Architect team as specialists in context-sensitive design that honors Marseille's rich heritage while embracing modern sustainability standards – a critical differentiator in France Marseille’s discerning client base. The city's ongoing regeneration projects, including the ambitious "Marseille 2030" urban development plan, have created fertile ground for our sales pipeline.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Total Sales Revenue (Marseille Focus):</w:t>
      </w:r>
      <w:r>
        <w:t xml:space="preserve"> </w:t>
      </w:r>
      <w:r>
        <w:t xml:space="preserve">€1.85M (vs. €1.52M Q3 2022) - **+21.7% Growth**</w:t>
      </w:r>
      <w:r>
        <w:br/>
      </w:r>
      <w:r>
        <w:rPr>
          <w:bCs/>
          <w:b/>
        </w:rPr>
        <w:t xml:space="preserve">New Client Acquisition Rate:</w:t>
      </w:r>
      <w:r>
        <w:t xml:space="preserve"> </w:t>
      </w:r>
      <w:r>
        <w:t xml:space="preserve">37% increase over previous quarter, with Marseille representing 89% of all new clients.</w:t>
      </w:r>
      <w:r>
        <w:br/>
      </w:r>
      <w:r>
        <w:rPr>
          <w:bCs/>
          <w:b/>
        </w:rPr>
        <w:t xml:space="preserve">Project Portfolio Breakdown (by Sector):</w:t>
      </w:r>
    </w:p>
    <w:p>
      <w:pPr>
        <w:numPr>
          <w:ilvl w:val="0"/>
          <w:numId w:val="1001"/>
        </w:numPr>
        <w:pStyle w:val="Compact"/>
      </w:pPr>
      <w:r>
        <w:rPr>
          <w:iCs/>
          <w:i/>
        </w:rPr>
        <w:t xml:space="preserve">Residential (Luxury &amp; Sustainable):</w:t>
      </w:r>
      <w:r>
        <w:t xml:space="preserve"> </w:t>
      </w:r>
      <w:r>
        <w:t xml:space="preserve">€875,000 (47% of total) - Includes 3 high-end boutique apartments in the renovated La Joliette district and a sustainable co-housing project near Notre-Dame de la Garde.</w:t>
      </w:r>
    </w:p>
    <w:p>
      <w:pPr>
        <w:numPr>
          <w:ilvl w:val="0"/>
          <w:numId w:val="1001"/>
        </w:numPr>
        <w:pStyle w:val="Compact"/>
      </w:pPr>
      <w:r>
        <w:rPr>
          <w:iCs/>
          <w:i/>
        </w:rPr>
        <w:t xml:space="preserve">Commercial &amp; Retail:</w:t>
      </w:r>
      <w:r>
        <w:t xml:space="preserve"> </w:t>
      </w:r>
      <w:r>
        <w:t xml:space="preserve">€625,000 (34% of total) - Secured contracts for a new flagship store for a French fashion brand in the Canebière corridor and an innovative mixed-use office-retail complex near St. Charles Station.</w:t>
      </w:r>
    </w:p>
    <w:p>
      <w:pPr>
        <w:numPr>
          <w:ilvl w:val="0"/>
          <w:numId w:val="1001"/>
        </w:numPr>
        <w:pStyle w:val="Compact"/>
      </w:pPr>
      <w:r>
        <w:rPr>
          <w:iCs/>
          <w:i/>
        </w:rPr>
        <w:t xml:space="preserve">Public &amp; Cultural:</w:t>
      </w:r>
      <w:r>
        <w:t xml:space="preserve"> </w:t>
      </w:r>
      <w:r>
        <w:t xml:space="preserve">€350,000 (19% of total) - Awarded the architectural design mandate for the "Marseille Oceanic Hub," a public aquarium expansion project funded by regional authorities, demonstrating strong positioning within France Marseille's strategic priorities.</w:t>
      </w:r>
    </w:p>
    <w:bookmarkEnd w:id="22"/>
    <w:bookmarkStart w:id="23" w:name="X9ea9e4fb8f70f27344154fceb0339917a5c9b33"/>
    <w:p>
      <w:pPr>
        <w:pStyle w:val="Heading2"/>
      </w:pPr>
      <w:r>
        <w:t xml:space="preserve">IV. Key Success Factors Driving Sales in France Marseille</w:t>
      </w:r>
    </w:p>
    <w:p>
      <w:pPr>
        <w:pStyle w:val="FirstParagraph"/>
      </w:pPr>
      <w:r>
        <w:t xml:space="preserve">Our Architect team’s success in the Marseille market stems from several integrated strategies:</w:t>
      </w:r>
    </w:p>
    <w:p>
      <w:pPr>
        <w:numPr>
          <w:ilvl w:val="0"/>
          <w:numId w:val="1002"/>
        </w:numPr>
        <w:pStyle w:val="Compact"/>
      </w:pPr>
      <w:r>
        <w:rPr>
          <w:bCs/>
          <w:b/>
        </w:rPr>
        <w:t xml:space="preserve">Cultural &amp; Regional Expertise:</w:t>
      </w:r>
      <w:r>
        <w:t xml:space="preserve"> </w:t>
      </w:r>
      <w:r>
        <w:t xml:space="preserve">Our architects possess deep knowledge of Provençal architectural traditions and specific Marseille urban planning regulations, allowing us to navigate local permitting processes (e.g., with the Ville de Marseille’s Urbanism Office) far more efficiently than generic national firms.</w:t>
      </w:r>
    </w:p>
    <w:p>
      <w:pPr>
        <w:numPr>
          <w:ilvl w:val="0"/>
          <w:numId w:val="1002"/>
        </w:numPr>
        <w:pStyle w:val="Compact"/>
      </w:pPr>
      <w:r>
        <w:rPr>
          <w:bCs/>
          <w:b/>
        </w:rPr>
        <w:t xml:space="preserve">Localized Client Relationships:</w:t>
      </w:r>
      <w:r>
        <w:t xml:space="preserve"> </w:t>
      </w:r>
      <w:r>
        <w:t xml:space="preserve">Building trust through active participation in Marseille business networks like the Chambre des Métiers et de l'Artisanat Provence-Alpes-Côte d'Azur and regular engagement with Marseille-based real estate developers such as Bouygues Immobilier.</w:t>
      </w:r>
    </w:p>
    <w:p>
      <w:pPr>
        <w:numPr>
          <w:ilvl w:val="0"/>
          <w:numId w:val="1002"/>
        </w:numPr>
        <w:pStyle w:val="Compact"/>
      </w:pPr>
      <w:r>
        <w:rPr>
          <w:bCs/>
          <w:b/>
        </w:rPr>
        <w:t xml:space="preserve">Sustainability as Core Value:</w:t>
      </w:r>
      <w:r>
        <w:t xml:space="preserve"> </w:t>
      </w:r>
      <w:r>
        <w:t xml:space="preserve">All projects in France Marseille emphasize passive cooling, solar integration, and use of local materials (e.g., limestone from the Calanques), directly aligning with regional environmental policies and client demands for ESG-compliant developments.</w:t>
      </w:r>
    </w:p>
    <w:p>
      <w:pPr>
        <w:numPr>
          <w:ilvl w:val="0"/>
          <w:numId w:val="1002"/>
        </w:numPr>
        <w:pStyle w:val="Compact"/>
      </w:pPr>
      <w:r>
        <w:rPr>
          <w:bCs/>
          <w:b/>
        </w:rPr>
        <w:t xml:space="preserve">Demonstrated Results:</w:t>
      </w:r>
      <w:r>
        <w:t xml:space="preserve"> </w:t>
      </w:r>
      <w:r>
        <w:t xml:space="preserve">High-profile projects like the "Le Suquet View" residential complex (completed Q1 2023) delivered 15% above client ROI expectations, generating powerful testimonials specifically highlighting our Architect's ability to deliver value within Marseille's unique constraints.</w:t>
      </w:r>
    </w:p>
    <w:bookmarkEnd w:id="23"/>
    <w:bookmarkStart w:id="24" w:name="v.-challenges-strategic-response"/>
    <w:p>
      <w:pPr>
        <w:pStyle w:val="Heading2"/>
      </w:pPr>
      <w:r>
        <w:t xml:space="preserve">V. Challenges &amp; Strategic Response</w:t>
      </w:r>
    </w:p>
    <w:p>
      <w:pPr>
        <w:pStyle w:val="FirstParagraph"/>
      </w:pPr>
      <w:r>
        <w:t xml:space="preserve">Key challenges encountered included prolonged permitting timelines for historic zone projects and increased material costs due to regional supply chain disruptions post-pandemic. Our Architect team proactively addressed these through:</w:t>
      </w:r>
    </w:p>
    <w:p>
      <w:pPr>
        <w:numPr>
          <w:ilvl w:val="0"/>
          <w:numId w:val="1003"/>
        </w:numPr>
        <w:pStyle w:val="Compact"/>
      </w:pPr>
      <w:r>
        <w:t xml:space="preserve">Establishing a dedicated Marseille liaison officer within our client services division to expedite local approvals.</w:t>
      </w:r>
    </w:p>
    <w:p>
      <w:pPr>
        <w:numPr>
          <w:ilvl w:val="0"/>
          <w:numId w:val="1003"/>
        </w:numPr>
        <w:pStyle w:val="Compact"/>
      </w:pPr>
      <w:r>
        <w:t xml:space="preserve">Developing a curated network of certified Provençal suppliers to mitigate cost volatility.</w:t>
      </w:r>
    </w:p>
    <w:p>
      <w:pPr>
        <w:numPr>
          <w:ilvl w:val="0"/>
          <w:numId w:val="1003"/>
        </w:numPr>
        <w:pStyle w:val="Compact"/>
      </w:pPr>
      <w:r>
        <w:t xml:space="preserve">Prioritizing projects with strong public funding components (e.g., the Marseille Oceanic Hub), which are less impacted by private sector budget fluctuations.</w:t>
      </w:r>
    </w:p>
    <w:bookmarkEnd w:id="24"/>
    <w:bookmarkStart w:id="25" w:name="X8713399eaf812b114f149a9c5808f0382cfc58a"/>
    <w:p>
      <w:pPr>
        <w:pStyle w:val="Heading2"/>
      </w:pPr>
      <w:r>
        <w:t xml:space="preserve">VI. Outlook &amp; Strategic Recommendations for France Marseille</w:t>
      </w:r>
    </w:p>
    <w:p>
      <w:pPr>
        <w:pStyle w:val="FirstParagraph"/>
      </w:pPr>
      <w:r>
        <w:t xml:space="preserve">The Q3 results confirm that strategic investment in the France Marseille market is yielding substantial returns. For Q4 2023 and beyond, we recommend:</w:t>
      </w:r>
    </w:p>
    <w:p>
      <w:pPr>
        <w:numPr>
          <w:ilvl w:val="0"/>
          <w:numId w:val="1004"/>
        </w:numPr>
        <w:pStyle w:val="Compact"/>
      </w:pPr>
      <w:r>
        <w:rPr>
          <w:bCs/>
          <w:b/>
        </w:rPr>
        <w:t xml:space="preserve">Accelerate Public Sector Engagement:</w:t>
      </w:r>
      <w:r>
        <w:t xml:space="preserve"> </w:t>
      </w:r>
      <w:r>
        <w:t xml:space="preserve">Target additional contracts under Marseille’s "Ville Durable" (Sustainable City) initiatives, which prioritize architectural firms with demonstrable green credentials.</w:t>
      </w:r>
    </w:p>
    <w:p>
      <w:pPr>
        <w:numPr>
          <w:ilvl w:val="0"/>
          <w:numId w:val="1004"/>
        </w:numPr>
        <w:pStyle w:val="Compact"/>
      </w:pPr>
      <w:r>
        <w:rPr>
          <w:bCs/>
          <w:b/>
        </w:rPr>
        <w:t xml:space="preserve">Expand Residential Focus in Emerging Zones:</w:t>
      </w:r>
      <w:r>
        <w:t xml:space="preserve"> </w:t>
      </w:r>
      <w:r>
        <w:t xml:space="preserve">Develop specialized pitch materials targeting the growing demand for modern housing near the new Mediterranean Corridor transport links.</w:t>
      </w:r>
    </w:p>
    <w:p>
      <w:pPr>
        <w:numPr>
          <w:ilvl w:val="0"/>
          <w:numId w:val="1004"/>
        </w:numPr>
        <w:pStyle w:val="Compact"/>
      </w:pPr>
      <w:r>
        <w:t xml:space="preserve">Form Strategic Alliances: Partner with Marseille-based engineering firms like Sogea or local interior designers to offer integrated "Architect-Design" packages, enhancing our competitive edge in France Marseille's collaborative project environment.</w:t>
      </w:r>
    </w:p>
    <w:bookmarkEnd w:id="25"/>
    <w:bookmarkStart w:id="26" w:name="vii.-conclusion"/>
    <w:p>
      <w:pPr>
        <w:pStyle w:val="Heading2"/>
      </w:pPr>
      <w:r>
        <w:t xml:space="preserve">VII. Conclusion</w:t>
      </w:r>
    </w:p>
    <w:p>
      <w:pPr>
        <w:pStyle w:val="FirstParagraph"/>
      </w:pPr>
      <w:r>
        <w:t xml:space="preserve">This Sales Report unequivocally demonstrates that our Architect practice has achieved significant market leadership within France Marseille. The city’s unique blend of historical significance, economic dynamism, and cultural identity provides an exceptional canvas for architectural innovation – a space where our firm’s specialized approach delivers measurable results for clients and tangible growth for our business. Our Q3 performance is not merely a metric; it is proof that deep local understanding combined with world-class design capabilities creates irresistible value in the Marseille market. We are poised to leverage this momentum, expanding our Architect portfolio to become the definitive partner for shaping Marseille's built environment into its next chapter of sustainable prosperity. The future of architecture in France Marseille is not just promising – it is actively being designed by us.</w:t>
      </w:r>
    </w:p>
    <w:p>
      <w:pPr>
        <w:pStyle w:val="BodyText"/>
      </w:pPr>
      <w:r>
        <w:rPr>
          <w:bCs/>
          <w:b/>
        </w:rPr>
        <w:t xml:space="preserve">Prepared By:</w:t>
      </w:r>
      <w:r>
        <w:t xml:space="preserve"> </w:t>
      </w:r>
      <w:r>
        <w:t xml:space="preserve">Sarah Dubois, Director of Business Development</w:t>
      </w:r>
      <w:r>
        <w:br/>
      </w:r>
      <w:r>
        <w:rPr>
          <w:bCs/>
          <w:b/>
        </w:rPr>
        <w:t xml:space="preserve">Firm:</w:t>
      </w:r>
      <w:r>
        <w:t xml:space="preserve"> </w:t>
      </w:r>
      <w:r>
        <w:t xml:space="preserve">AURA Architecture (Specializing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Performance in France Marseille</dc:title>
  <dc:creator/>
  <dc:language>en</dc:language>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file>