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Architectural</w:t>
      </w:r>
      <w:r>
        <w:t xml:space="preserve"> </w:t>
      </w:r>
      <w:r>
        <w:t xml:space="preserve">Sales</w:t>
      </w:r>
      <w:r>
        <w:t xml:space="preserve"> </w:t>
      </w:r>
      <w:r>
        <w:t xml:space="preserve">Performance</w:t>
      </w:r>
      <w:r>
        <w:t xml:space="preserve"> </w:t>
      </w:r>
      <w:r>
        <w:t xml:space="preserve">Report:</w:t>
      </w:r>
      <w:r>
        <w:t xml:space="preserve"> </w:t>
      </w:r>
      <w:r>
        <w:t xml:space="preserve">Berlin</w:t>
      </w:r>
      <w:r>
        <w:t xml:space="preserve"> </w:t>
      </w:r>
      <w:r>
        <w:t xml:space="preserve">Market</w:t>
      </w:r>
      <w:r>
        <w:t xml:space="preserve"> </w:t>
      </w:r>
      <w:r>
        <w:t xml:space="preserve">-</w:t>
      </w:r>
      <w:r>
        <w:t xml:space="preserve"> </w:t>
      </w:r>
      <w:r>
        <w:t xml:space="preserve">Q3</w:t>
      </w:r>
      <w:r>
        <w:t xml:space="preserve"> </w:t>
      </w:r>
      <w:r>
        <w:t xml:space="preserve">2024</w:t>
      </w:r>
    </w:p>
    <w:bookmarkStart w:id="28" w:name="Xd3aa3768b4ed19e6794cfac3fee9b1aa872f8db"/>
    <w:p>
      <w:pPr>
        <w:pStyle w:val="Heading1"/>
      </w:pPr>
      <w:r>
        <w:t xml:space="preserve">Architectural Sales Performance Report: Berlin Market - Q3 2024</w:t>
      </w:r>
    </w:p>
    <w:p>
      <w:pPr>
        <w:pStyle w:val="FirstParagraph"/>
      </w:pPr>
      <w:r>
        <w:rPr>
          <w:bCs/>
          <w:b/>
        </w:rPr>
        <w:t xml:space="preserve">Prepared For:</w:t>
      </w:r>
      <w:r>
        <w:t xml:space="preserve"> </w:t>
      </w:r>
      <w:r>
        <w:t xml:space="preserve">Executive Leadership &amp; Stakeholders</w:t>
      </w:r>
      <w:r>
        <w:br/>
      </w:r>
      <w:r>
        <w:rPr>
          <w:bCs/>
          <w:b/>
        </w:rPr>
        <w:t xml:space="preserve">Date:</w:t>
      </w:r>
      <w:r>
        <w:t xml:space="preserve"> </w:t>
      </w:r>
      <w:r>
        <w:t xml:space="preserve">October 26, 2024</w:t>
      </w:r>
      <w:r>
        <w:br/>
      </w:r>
      <w:r>
        <w:rPr>
          <w:bCs/>
          <w:b/>
        </w:rPr>
        <w:t xml:space="preserve">Firm:</w:t>
      </w:r>
      <w:r>
        <w:t xml:space="preserve"> </w:t>
      </w:r>
      <w:r>
        <w:t xml:space="preserve">Berlin Architecture Collective (BAC) | Germany's Premier Urban Design Studio</w:t>
      </w:r>
    </w:p>
    <w:bookmarkStart w:id="20" w:name="i.-executive-summary"/>
    <w:p>
      <w:pPr>
        <w:pStyle w:val="Heading2"/>
      </w:pPr>
      <w:r>
        <w:t xml:space="preserve">I. Executive Summary</w:t>
      </w:r>
    </w:p>
    <w:p>
      <w:pPr>
        <w:pStyle w:val="FirstParagraph"/>
      </w:pPr>
      <w:r>
        <w:t xml:space="preserve">This comprehensive Sales Report details the architectural services performance of Berlin Architecture Collective (BAC) across the dynamic German capital during Q3 2024. As a leading firm specializing in sustainable, client-centric design within Germany's most vibrant urban landscape, BAC achieved remarkable milestones in project acquisition, client retention, and market expansion. The report underscores how strategic adaptation to Berlin's unique regulatory environment and cultural expectations has positioned our Architect team as the preferred partner for high-value developments across Greater Berlin. Total sales revenue reached €2.87M (15% YoY growth), driven by a 32% increase in new architect-led contracts secured within the Germany capital.</w:t>
      </w:r>
    </w:p>
    <w:bookmarkEnd w:id="20"/>
    <w:bookmarkStart w:id="21" w:name="ii.-market-context-why-berlin-germany"/>
    <w:p>
      <w:pPr>
        <w:pStyle w:val="Heading2"/>
      </w:pPr>
      <w:r>
        <w:t xml:space="preserve">II. Market Context: Why Berlin, Germany?</w:t>
      </w:r>
    </w:p>
    <w:p>
      <w:pPr>
        <w:pStyle w:val="FirstParagraph"/>
      </w:pPr>
      <w:r>
        <w:t xml:space="preserve">Berlin remains the epicenter of architectural innovation in Germany. The city's ambitious climate goals (Net Zero by 2045), dense urban renewal projects (e.g., Marzahn-Hellersdorf revitalization), and influx of international firms create unparalleled demand for skilled Architects. Unlike other German regions, Berlin's market requires deep understanding of:</w:t>
      </w:r>
    </w:p>
    <w:p>
      <w:pPr>
        <w:numPr>
          <w:ilvl w:val="0"/>
          <w:numId w:val="1001"/>
        </w:numPr>
        <w:pStyle w:val="Compact"/>
      </w:pPr>
      <w:r>
        <w:t xml:space="preserve">Strict adherence to Berlin Building Code (BauGB) and DIN standards</w:t>
      </w:r>
    </w:p>
    <w:p>
      <w:pPr>
        <w:numPr>
          <w:ilvl w:val="0"/>
          <w:numId w:val="1001"/>
        </w:numPr>
        <w:pStyle w:val="Compact"/>
      </w:pPr>
      <w:r>
        <w:t xml:space="preserve">Integration of historical preservation with modern sustainability</w:t>
      </w:r>
    </w:p>
    <w:p>
      <w:pPr>
        <w:numPr>
          <w:ilvl w:val="0"/>
          <w:numId w:val="1001"/>
        </w:numPr>
        <w:pStyle w:val="Compact"/>
      </w:pPr>
      <w:r>
        <w:t xml:space="preserve">Complex stakeholder engagement in mixed-use neighborhoods (e.g., Neukölln, Prenzlauer Berg)</w:t>
      </w:r>
    </w:p>
    <w:p>
      <w:pPr>
        <w:pStyle w:val="FirstParagraph"/>
      </w:pPr>
      <w:r>
        <w:t xml:space="preserve">Our Architect team's localized expertise has directly translated into sales advantages. 78% of new clients cited our "Berlin-specific knowledge" as the primary factor in selection – a key differentiator against national competitors.</w:t>
      </w:r>
    </w:p>
    <w:bookmarkEnd w:id="21"/>
    <w:bookmarkStart w:id="22" w:name="iii.-sales-performance-highlights"/>
    <w:p>
      <w:pPr>
        <w:pStyle w:val="Heading2"/>
      </w:pPr>
      <w:r>
        <w:t xml:space="preserve">III. Sales Performance Highlights</w:t>
      </w:r>
    </w:p>
    <w:p>
      <w:pPr>
        <w:pStyle w:val="FirstParagraph"/>
      </w:pPr>
      <w:r>
        <w:rPr>
          <w:bCs/>
          <w:b/>
        </w:rPr>
        <w:t xml:space="preserve">A. Project Acquisition &amp; Revenue:</w:t>
      </w:r>
      <w:r>
        <w:t xml:space="preserve"> </w:t>
      </w:r>
      <w:r>
        <w:t xml:space="preserve">BAC secured 14 new architectural projects (vs. 10 in Q2), including:</w:t>
      </w:r>
    </w:p>
    <w:p>
      <w:pPr>
        <w:numPr>
          <w:ilvl w:val="0"/>
          <w:numId w:val="1002"/>
        </w:numPr>
        <w:pStyle w:val="Compact"/>
      </w:pPr>
      <w:r>
        <w:rPr>
          <w:iCs/>
          <w:i/>
        </w:rPr>
        <w:t xml:space="preserve">The Oberbaum Bridge Residential Complex (Mitte)</w:t>
      </w:r>
      <w:r>
        <w:t xml:space="preserve">: €650K contract for sustainable mixed-use development incorporating historic facade restoration.</w:t>
      </w:r>
    </w:p>
    <w:p>
      <w:pPr>
        <w:numPr>
          <w:ilvl w:val="0"/>
          <w:numId w:val="1002"/>
        </w:numPr>
        <w:pStyle w:val="Compact"/>
      </w:pPr>
      <w:r>
        <w:rPr>
          <w:iCs/>
          <w:i/>
        </w:rPr>
        <w:t xml:space="preserve">Solaris Urban Farm &amp; Community Hub (Friedrichshain)</w:t>
      </w:r>
      <w:r>
        <w:t xml:space="preserve">: €420K contract focusing on energy-positive design, securing 3-year maintenance agreement with Berlin Energy Agency.</w:t>
      </w:r>
    </w:p>
    <w:p>
      <w:pPr>
        <w:numPr>
          <w:ilvl w:val="0"/>
          <w:numId w:val="1002"/>
        </w:numPr>
        <w:pStyle w:val="Compact"/>
      </w:pPr>
      <w:r>
        <w:t xml:space="preserve">Expansion of existing client base: 85% retention rate from Q2 clients, including the Berlin City Council's "Eco-District" pilot program.</w:t>
      </w:r>
    </w:p>
    <w:p>
      <w:pPr>
        <w:pStyle w:val="FirstParagraph"/>
      </w:pPr>
      <w:r>
        <w:rPr>
          <w:bCs/>
          <w:b/>
        </w:rPr>
        <w:t xml:space="preserve">B. Architect-Driven Sales Strategy:</w:t>
      </w:r>
      <w:r>
        <w:t xml:space="preserve"> </w:t>
      </w:r>
      <w:r>
        <w:t xml:space="preserve">Our success stems from a refined sales methodology centered on our Architects' value proposition:</w:t>
      </w:r>
    </w:p>
    <w:p>
      <w:pPr>
        <w:numPr>
          <w:ilvl w:val="0"/>
          <w:numId w:val="1003"/>
        </w:numPr>
        <w:pStyle w:val="Compact"/>
      </w:pPr>
      <w:r>
        <w:rPr>
          <w:iCs/>
          <w:i/>
        </w:rPr>
        <w:t xml:space="preserve">Pre-Sale Technical Consultation:</w:t>
      </w:r>
      <w:r>
        <w:t xml:space="preserve"> </w:t>
      </w:r>
      <w:r>
        <w:t xml:space="preserve">Every prospect receives a free, 90-minute site analysis by a Berlin-based Architect – directly addressing local code concerns (e.g., noise abatement in Tiergarten zones).</w:t>
      </w:r>
    </w:p>
    <w:p>
      <w:pPr>
        <w:numPr>
          <w:ilvl w:val="0"/>
          <w:numId w:val="1003"/>
        </w:numPr>
        <w:pStyle w:val="Compact"/>
      </w:pPr>
      <w:r>
        <w:rPr>
          <w:iCs/>
          <w:i/>
        </w:rPr>
        <w:t xml:space="preserve">DIN Certification Guarantee:</w:t>
      </w:r>
      <w:r>
        <w:t xml:space="preserve"> </w:t>
      </w:r>
      <w:r>
        <w:t xml:space="preserve">Sales materials explicitly showcase our Architects' mastery of German standards (DIN 18599 for energy modeling), reducing client risk perception.</w:t>
      </w:r>
    </w:p>
    <w:p>
      <w:pPr>
        <w:numPr>
          <w:ilvl w:val="0"/>
          <w:numId w:val="1003"/>
        </w:numPr>
        <w:pStyle w:val="Compact"/>
      </w:pPr>
      <w:r>
        <w:rPr>
          <w:iCs/>
          <w:i/>
        </w:rPr>
        <w:t xml:space="preserve">Local Partnership Mapping:</w:t>
      </w:r>
      <w:r>
        <w:t xml:space="preserve"> </w:t>
      </w:r>
      <w:r>
        <w:t xml:space="preserve">Strategic alliances with Berlin-specific vendors (e.g., "EcoBau" material suppliers) are highlighted in proposals, streamlining project delivery.</w:t>
      </w:r>
    </w:p>
    <w:bookmarkEnd w:id="22"/>
    <w:bookmarkStart w:id="23" w:name="X5ba5dc370d5e5ee650098e3c92c505ca1a0cc64"/>
    <w:p>
      <w:pPr>
        <w:pStyle w:val="Heading2"/>
      </w:pPr>
      <w:r>
        <w:t xml:space="preserve">IV. Client Insights: Berlin Market Preferences</w:t>
      </w:r>
    </w:p>
    <w:p>
      <w:pPr>
        <w:pStyle w:val="FirstParagraph"/>
      </w:pPr>
      <w:r>
        <w:t xml:space="preserve">Data from 47 client interviews reveals distinct preferences among Berlin-based clients:</w:t>
      </w:r>
    </w:p>
    <w:p>
      <w:pPr>
        <w:numPr>
          <w:ilvl w:val="0"/>
          <w:numId w:val="1004"/>
        </w:numPr>
        <w:pStyle w:val="Compact"/>
      </w:pPr>
      <w:r>
        <w:rPr>
          <w:bCs/>
          <w:b/>
        </w:rPr>
        <w:t xml:space="preserve">63% prioritize "Berlin Heritage Integration" in proposals</w:t>
      </w:r>
      <w:r>
        <w:t xml:space="preserve"> </w:t>
      </w:r>
      <w:r>
        <w:t xml:space="preserve">– e.g., adaptive reuse of industrial sites like Köpenick's former factory complex.</w:t>
      </w:r>
    </w:p>
    <w:p>
      <w:pPr>
        <w:numPr>
          <w:ilvl w:val="0"/>
          <w:numId w:val="1004"/>
        </w:numPr>
        <w:pStyle w:val="Compact"/>
      </w:pPr>
      <w:r>
        <w:rPr>
          <w:bCs/>
          <w:b/>
        </w:rPr>
        <w:t xml:space="preserve">58% demand "German Sustainability Certification (DGNB) guarantees" before signing</w:t>
      </w:r>
      <w:r>
        <w:t xml:space="preserve">, directly influencing contract terms.</w:t>
      </w:r>
    </w:p>
    <w:p>
      <w:pPr>
        <w:numPr>
          <w:ilvl w:val="0"/>
          <w:numId w:val="1004"/>
        </w:numPr>
        <w:pStyle w:val="Compact"/>
      </w:pPr>
      <w:r>
        <w:rPr>
          <w:bCs/>
          <w:b/>
        </w:rPr>
        <w:t xml:space="preserve">47% value Architect-led project management over traditional contractor models</w:t>
      </w:r>
      <w:r>
        <w:t xml:space="preserve">, reflecting trust in our local expertise.</w:t>
      </w:r>
    </w:p>
    <w:p>
      <w:pPr>
        <w:pStyle w:val="FirstParagraph"/>
      </w:pPr>
      <w:r>
        <w:t xml:space="preserve">This insight directly shaped our Q3 sales collateral, featuring case studies like the "Gleisdreieck Transit Hub" (certified DGNB Gold) to demonstrate compliance with Berlin’s stringent environmental benchmarks.</w:t>
      </w:r>
    </w:p>
    <w:bookmarkEnd w:id="23"/>
    <w:bookmarkStart w:id="24" w:name="v.-challenges-strategic-adaptations"/>
    <w:p>
      <w:pPr>
        <w:pStyle w:val="Heading2"/>
      </w:pPr>
      <w:r>
        <w:t xml:space="preserve">V. Challenges &amp; Strategic Adaptations</w:t>
      </w:r>
    </w:p>
    <w:p>
      <w:pPr>
        <w:pStyle w:val="FirstParagraph"/>
      </w:pPr>
      <w:r>
        <w:t xml:space="preserve">While opportunities abound, Berlin's market presents unique hurdles:</w:t>
      </w:r>
    </w:p>
    <w:p>
      <w:pPr>
        <w:numPr>
          <w:ilvl w:val="0"/>
          <w:numId w:val="1005"/>
        </w:numPr>
        <w:pStyle w:val="Compact"/>
      </w:pPr>
      <w:r>
        <w:rPr>
          <w:iCs/>
          <w:i/>
        </w:rPr>
        <w:t xml:space="preserve">Regulatory Complexity:</w:t>
      </w:r>
      <w:r>
        <w:t xml:space="preserve"> </w:t>
      </w:r>
      <w:r>
        <w:t xml:space="preserve">Ambiguous zoning laws in Tempelhof-Schöneberg delayed 3 projects. *Our response:* Our Architect team now includes a dedicated "Berlin Code Specialist" who resolves permitting issues pre-contract.</w:t>
      </w:r>
    </w:p>
    <w:p>
      <w:pPr>
        <w:numPr>
          <w:ilvl w:val="0"/>
          <w:numId w:val="1005"/>
        </w:numPr>
        <w:pStyle w:val="Compact"/>
      </w:pPr>
      <w:r>
        <w:rPr>
          <w:iCs/>
          <w:i/>
        </w:rPr>
        <w:t xml:space="preserve">Material Cost Volatility:</w:t>
      </w:r>
      <w:r>
        <w:t xml:space="preserve"> </w:t>
      </w:r>
      <w:r>
        <w:t xml:space="preserve">Inflation impacted 25% of client budgets. *Our response:* Sales pitches now include flexible budget scenarios showing how our Architects optimize costs via local sourcing (e.g., recycled steel from Berlin-based mills).</w:t>
      </w:r>
    </w:p>
    <w:p>
      <w:pPr>
        <w:numPr>
          <w:ilvl w:val="0"/>
          <w:numId w:val="1005"/>
        </w:numPr>
        <w:pStyle w:val="Compact"/>
      </w:pPr>
      <w:r>
        <w:rPr>
          <w:iCs/>
          <w:i/>
        </w:rPr>
        <w:t xml:space="preserve">Competition Pressure:</w:t>
      </w:r>
      <w:r>
        <w:t xml:space="preserve"> </w:t>
      </w:r>
      <w:r>
        <w:t xml:space="preserve">National firms underbidding on generic projects. *Our response:* BAC doubled down on niche positioning – "Berlin's Only Architect Firm with City Council Approved Urban Design Protocol."</w:t>
      </w:r>
    </w:p>
    <w:bookmarkEnd w:id="24"/>
    <w:bookmarkStart w:id="25" w:name="X5b7e67cb1ab39751c4a15cbac56ae74cc7ae02f"/>
    <w:p>
      <w:pPr>
        <w:pStyle w:val="Heading2"/>
      </w:pPr>
      <w:r>
        <w:t xml:space="preserve">VI. Future Outlook &amp; Strategic Sales Priorities</w:t>
      </w:r>
    </w:p>
    <w:p>
      <w:pPr>
        <w:pStyle w:val="FirstParagraph"/>
      </w:pPr>
      <w:r>
        <w:t xml:space="preserve">With Berlin's construction sector projected to grow 8.1% in 2025 (Statista, Germany), BAC is scaling our Architect sales engine:</w:t>
      </w:r>
    </w:p>
    <w:p>
      <w:pPr>
        <w:numPr>
          <w:ilvl w:val="0"/>
          <w:numId w:val="1006"/>
        </w:numPr>
        <w:pStyle w:val="Compact"/>
      </w:pPr>
      <w:r>
        <w:rPr>
          <w:iCs/>
          <w:i/>
        </w:rPr>
        <w:t xml:space="preserve">Launch "Berlin Urban Design Passport":</w:t>
      </w:r>
      <w:r>
        <w:t xml:space="preserve"> </w:t>
      </w:r>
      <w:r>
        <w:t xml:space="preserve">A digital tool for prospects to simulate project compliance with Berlin's zoning laws – reducing sales cycle by 30%.</w:t>
      </w:r>
    </w:p>
    <w:p>
      <w:pPr>
        <w:numPr>
          <w:ilvl w:val="0"/>
          <w:numId w:val="1006"/>
        </w:numPr>
        <w:pStyle w:val="Compact"/>
      </w:pPr>
      <w:r>
        <w:rPr>
          <w:iCs/>
          <w:i/>
        </w:rPr>
        <w:t xml:space="preserve">Targeting Key Berlin Developers:</w:t>
      </w:r>
      <w:r>
        <w:t xml:space="preserve"> </w:t>
      </w:r>
      <w:r>
        <w:t xml:space="preserve">Expanding outreach to firms like "Cologne-based Börsig" and "Berlin Wohnen" with tailored architectural solutions for affordable housing mandates.</w:t>
      </w:r>
    </w:p>
    <w:p>
      <w:pPr>
        <w:numPr>
          <w:ilvl w:val="0"/>
          <w:numId w:val="1006"/>
        </w:numPr>
        <w:pStyle w:val="Compact"/>
      </w:pPr>
      <w:r>
        <w:rPr>
          <w:iCs/>
          <w:i/>
        </w:rPr>
        <w:t xml:space="preserve">Germany-wide Architect Training:</w:t>
      </w:r>
      <w:r>
        <w:t xml:space="preserve"> </w:t>
      </w:r>
      <w:r>
        <w:t xml:space="preserve">Implementing mandatory Berlin-specific modules for all new Architects, covering local case law and client communication protocols.</w:t>
      </w:r>
    </w:p>
    <w:bookmarkEnd w:id="25"/>
    <w:bookmarkStart w:id="27" w:name="Xcc38e5f167510c0218c0a794f6764f263171468"/>
    <w:p>
      <w:pPr>
        <w:pStyle w:val="Heading2"/>
      </w:pPr>
      <w:r>
        <w:t xml:space="preserve">VII. Conclusion: The Architect as Sales Catalyst</w:t>
      </w:r>
    </w:p>
    <w:p>
      <w:pPr>
        <w:pStyle w:val="FirstParagraph"/>
      </w:pPr>
      <w:r>
        <w:t xml:space="preserve">This Q3 report unequivocally demonstrates that in Germany's Berlin market, the role of the Architect transcends design. Our Architects are now the primary sales drivers – trusted advisors who navigate regulatory complexity and translate technical excellence into client confidence. By embedding architectural expertise directly into our sales process (e.g., having Lead Architects lead initial client consultations), BAC has transformed from a service provider to an indispensable market partner. The 20% increase in architect-generated leads this quarter validates that Berlin’s most discerning clients don’t just hire Architects – they hire them as strategic business partners for Germany’s urban future.</w:t>
      </w:r>
    </w:p>
    <w:p>
      <w:pPr>
        <w:pStyle w:val="BodyText"/>
      </w:pPr>
      <w:r>
        <w:t xml:space="preserve">As we enter Q4, the focus remains clear: leverage our Berlin-native Architect team to dominate the sustainable architecture segment. Our Sales Report confirms that when an architect understands Berlin, Germany wins – and so does our firm.</w:t>
      </w:r>
    </w:p>
    <w:bookmarkStart w:id="26" w:name="prepared-by"/>
    <w:p>
      <w:pPr>
        <w:pStyle w:val="Heading3"/>
      </w:pPr>
      <w:r>
        <w:t xml:space="preserve">Prepared By:</w:t>
      </w:r>
    </w:p>
    <w:p>
      <w:pPr>
        <w:pStyle w:val="FirstParagraph"/>
      </w:pPr>
      <w:r>
        <w:t xml:space="preserve">Sarah Vogel | Director of Sales &amp; Client Strategy</w:t>
      </w:r>
      <w:r>
        <w:br/>
      </w:r>
      <w:r>
        <w:t xml:space="preserve">Berlin Architecture Collective (BAC)</w:t>
      </w:r>
      <w:r>
        <w:br/>
      </w:r>
      <w:r>
        <w:t xml:space="preserve">Berlin, Germany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Architectural Sales Performance Report: Berlin Market - Q3 2024</dc:title>
  <dc:creator/>
  <dc:language>en</dc:language>
  <cp:keywords/>
  <dcterms:created xsi:type="dcterms:W3CDTF">2025-12-11T16:09:05Z</dcterms:created>
  <dcterms:modified xsi:type="dcterms:W3CDTF">2025-12-11T16:09:05Z</dcterms:modified>
</cp:coreProperties>
</file>

<file path=docProps/custom.xml><?xml version="1.0" encoding="utf-8"?>
<Properties xmlns="http://schemas.openxmlformats.org/officeDocument/2006/custom-properties" xmlns:vt="http://schemas.openxmlformats.org/officeDocument/2006/docPropsVTypes"/>
</file>