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Germany</w:t>
      </w:r>
      <w:r>
        <w:t xml:space="preserve"> </w:t>
      </w:r>
      <w:r>
        <w:t xml:space="preserve">Frankfurt</w:t>
      </w:r>
    </w:p>
    <w:bookmarkStart w:id="20" w:name="X687eb0485601a85fc85ea60217502f8c3f5ac3c"/>
    <w:p>
      <w:pPr>
        <w:pStyle w:val="Heading1"/>
      </w:pPr>
      <w:r>
        <w:t xml:space="preserve">Q3 Sales Report: Architectural Innovation Fueling Market Leadership in Germany Frankfurt</w:t>
      </w:r>
    </w:p>
    <w:p>
      <w:pPr>
        <w:pStyle w:val="FirstParagraph"/>
      </w:pPr>
      <w:r>
        <w:t xml:space="preserve">Prepared for Executive Leadership &amp; Stakeholders | Nexus Architecture Group | Frankfurt, Germany</w:t>
      </w:r>
    </w:p>
    <w:bookmarkEnd w:id="20"/>
    <w:bookmarkStart w:id="21" w:name="executive-summary"/>
    <w:p>
      <w:pPr>
        <w:pStyle w:val="Heading2"/>
      </w:pPr>
      <w:r>
        <w:t xml:space="preserve">Executive Summary</w:t>
      </w:r>
    </w:p>
    <w:p>
      <w:pPr>
        <w:pStyle w:val="FirstParagraph"/>
      </w:pPr>
      <w:r>
        <w:t xml:space="preserve">The Q3 Sales Report for Nexus Architecture Group, operating exclusively within Germany Frankfurt, demonstrates exceptional performance driven by strategic architectural solutions tailored to the city's unique commercial landscape. This report details a 17% year-over-year increase in signed contracts, directly attributable to our firm’s deep understanding of Frankfurt’s architectural demands and its position as Europe's financial capital. The Sales Report confirms that our Architect team is not merely designing spaces but actively generating revenue through innovative, market-responsive design leadership.</w:t>
      </w:r>
    </w:p>
    <w:bookmarkEnd w:id="21"/>
    <w:bookmarkStart w:id="22" w:name="Xbed1718c44d65f3700e5ad53b277503879fda28"/>
    <w:p>
      <w:pPr>
        <w:pStyle w:val="Heading2"/>
      </w:pPr>
      <w:r>
        <w:t xml:space="preserve">Germany Frankfurt Market Analysis &amp; Strategic Positioning</w:t>
      </w:r>
    </w:p>
    <w:p>
      <w:pPr>
        <w:pStyle w:val="FirstParagraph"/>
      </w:pPr>
      <w:r>
        <w:t xml:space="preserve">Frankfurt’s status as Germany’s financial hub (home to the European Central Bank, Deutsche Börse, and over 150 international banks) creates a specialized demand for architectural excellence that transcends standard design. This Sales Report highlights how our Architect team has capitalized on Frankfurt's specific market dynamics: the city mandates energy-efficient skyscrapers within strict historical preservation zones (e.g., near Römerberg), prioritizes seamless integration with public transport networks, and requires designs accommodating hybrid work models post-pandemic. Our sales pipeline shows 85% of new clients explicitly selected Nexus due to our proven Frankfurt-specific expertise—a direct result of the Architect-led market intelligence we deploy.</w:t>
      </w:r>
    </w:p>
    <w:p>
      <w:pPr>
        <w:pStyle w:val="BodyText"/>
      </w:pPr>
      <w:r>
        <w:t xml:space="preserve">Competitor analysis reveals a critical gap: most architecture firms lack deep local regulatory knowledge. Our Sales Report quantifies this advantage, showing that 92% of projects secured in Q3 were won through architect-driven value propositions addressing Frankfurt’s zoning laws and sustainability mandates (e.g., EU Green Deal compliance). This strategic positioning has positioned us as the preferred Architect partner for Frankfurt’s top-tier commercial developments.</w:t>
      </w:r>
    </w:p>
    <w:bookmarkEnd w:id="22"/>
    <w:bookmarkStart w:id="23" w:name="Xa2f6882c70775b877f9c49646cad22d88a22eb6"/>
    <w:p>
      <w:pPr>
        <w:pStyle w:val="Heading2"/>
      </w:pPr>
      <w:r>
        <w:t xml:space="preserve">Key Project Highlights Driving Sales Growth</w:t>
      </w:r>
    </w:p>
    <w:p>
      <w:pPr>
        <w:pStyle w:val="FirstParagraph"/>
      </w:pPr>
      <w:r>
        <w:t xml:space="preserve">Three flagship projects in Germany Frankfurt exemplify how our Architect team directly influences sales success:</w:t>
      </w:r>
    </w:p>
    <w:p>
      <w:pPr>
        <w:numPr>
          <w:ilvl w:val="0"/>
          <w:numId w:val="1001"/>
        </w:numPr>
        <w:pStyle w:val="Compact"/>
      </w:pPr>
      <w:r>
        <w:rPr>
          <w:bCs/>
          <w:b/>
        </w:rPr>
        <w:t xml:space="preserve">Neue Mainzer Straße High-Rise Expansion:</w:t>
      </w:r>
      <w:r>
        <w:t xml:space="preserve"> </w:t>
      </w:r>
      <w:r>
        <w:t xml:space="preserve">A €42M commercial tower designed to integrate with Frankfurt’s U-Bahn network. The Architect team secured the contract by proposing a unique sky-bridge solution connecting to the city’s main transit hub—a feature directly requested by Deutsche Bank, our anchor client. This project contributed €18M to Q3 sales.</w:t>
      </w:r>
    </w:p>
    <w:p>
      <w:pPr>
        <w:numPr>
          <w:ilvl w:val="0"/>
          <w:numId w:val="1001"/>
        </w:numPr>
        <w:pStyle w:val="Compact"/>
      </w:pPr>
      <w:r>
        <w:rPr>
          <w:bCs/>
          <w:b/>
        </w:rPr>
        <w:t xml:space="preserve">Römerberg Sustainable Office Redevelopment:</w:t>
      </w:r>
      <w:r>
        <w:t xml:space="preserve"> </w:t>
      </w:r>
      <w:r>
        <w:t xml:space="preserve">Renovating a historic building into eco-certified offices (DGNB Gold). The Architect’s focus on preserving Gothic facades while embedding smart energy systems attracted premium tenants, resulting in 100% pre-lease coverage. This project represents €22M in sales and is a benchmark for Frankfurt’s heritage-sensitive market.</w:t>
      </w:r>
    </w:p>
    <w:p>
      <w:pPr>
        <w:numPr>
          <w:ilvl w:val="0"/>
          <w:numId w:val="1001"/>
        </w:numPr>
        <w:pStyle w:val="Compact"/>
      </w:pPr>
      <w:r>
        <w:rPr>
          <w:bCs/>
          <w:b/>
        </w:rPr>
        <w:t xml:space="preserve">Frankfurt Green Corridor Masterplan:</w:t>
      </w:r>
      <w:r>
        <w:t xml:space="preserve"> </w:t>
      </w:r>
      <w:r>
        <w:t xml:space="preserve">A citywide initiative for green infrastructure linking the Main River to parks. The Architect-led proposal was selected by the City of Frankfurt due to its alignment with local climate action goals. This €35M public-sector contract is our largest single project, directly tied to sales growth in Q3.</w:t>
      </w:r>
    </w:p>
    <w:bookmarkEnd w:id="23"/>
    <w:bookmarkStart w:id="24" w:name="client-satisfaction-sales-velocity"/>
    <w:p>
      <w:pPr>
        <w:pStyle w:val="Heading2"/>
      </w:pPr>
      <w:r>
        <w:t xml:space="preserve">Client Satisfaction &amp; Sales Velocity</w:t>
      </w:r>
    </w:p>
    <w:p>
      <w:pPr>
        <w:pStyle w:val="FirstParagraph"/>
      </w:pPr>
      <w:r>
        <w:t xml:space="preserve">Client feedback data from Germany Frankfurt confirms our Architect team’s role as a sales catalyst. Post-project surveys reveal a 96% Net Promoter Score (NPS), with clients citing "architectural foresight" as the top reason for repeat business. One major client (a Swiss asset manager) stated: "Your Architects didn’t just design; they sold us on the future value of the space—proving why Frankfurt’s top firms choose Nexus." This relationship-driven approach has reduced sales cycles by 28% compared to industry averages, directly reflected in Q3’s sales velocity metrics.</w:t>
      </w:r>
    </w:p>
    <w:p>
      <w:pPr>
        <w:pStyle w:val="BodyText"/>
      </w:pPr>
      <w:r>
        <w:t xml:space="preserve">The Sales Report also documents a 41% increase in referral business from existing clients—all generated through Architect-led client education sessions on Frankfurt-specific trends (e.g., "How biophilic design attracts talent in Germany’s competitive labor market"). This organic growth underscores our Architect team’s strategic role beyond drafting blueprints.</w:t>
      </w:r>
    </w:p>
    <w:bookmarkEnd w:id="24"/>
    <w:bookmarkStart w:id="25" w:name="X7de020477d9d74e7d251b1414cf557aa462791d"/>
    <w:p>
      <w:pPr>
        <w:pStyle w:val="Heading2"/>
      </w:pPr>
      <w:r>
        <w:t xml:space="preserve">Competitive Differentiation in Frankfurt’s Market</w:t>
      </w:r>
    </w:p>
    <w:p>
      <w:pPr>
        <w:pStyle w:val="FirstParagraph"/>
      </w:pPr>
      <w:r>
        <w:t xml:space="preserve">Frankfurt’s architectural market is highly competitive, but our Sales Report identifies three pillars of differentiation directly tied to the Architect role:</w:t>
      </w:r>
    </w:p>
    <w:p>
      <w:pPr>
        <w:numPr>
          <w:ilvl w:val="0"/>
          <w:numId w:val="1002"/>
        </w:numPr>
        <w:pStyle w:val="Compact"/>
      </w:pPr>
      <w:r>
        <w:rPr>
          <w:bCs/>
          <w:b/>
        </w:rPr>
        <w:t xml:space="preserve">Regulatory Mastery:</w:t>
      </w:r>
      <w:r>
        <w:t xml:space="preserve"> </w:t>
      </w:r>
      <w:r>
        <w:t xml:space="preserve">Our Architect team maintains real-time knowledge of Frankfurt’s Building Code (Bauordnung) updates, ensuring no project delays due to compliance issues—a critical sales advantage for time-sensitive financial clients.</w:t>
      </w:r>
    </w:p>
    <w:p>
      <w:pPr>
        <w:numPr>
          <w:ilvl w:val="0"/>
          <w:numId w:val="1002"/>
        </w:numPr>
        <w:pStyle w:val="Compact"/>
      </w:pPr>
      <w:r>
        <w:rPr>
          <w:bCs/>
          <w:b/>
        </w:rPr>
        <w:t xml:space="preserve">Market Intelligence:</w:t>
      </w:r>
      <w:r>
        <w:t xml:space="preserve"> </w:t>
      </w:r>
      <w:r>
        <w:t xml:space="preserve">Architects conduct quarterly Frankfurt-specific trend briefings (e.g., "Post-2024 Hybrid Work Impact on Office Demand") that directly inform our sales strategy and client proposals.</w:t>
      </w:r>
    </w:p>
    <w:p>
      <w:pPr>
        <w:numPr>
          <w:ilvl w:val="0"/>
          <w:numId w:val="1002"/>
        </w:numPr>
        <w:pStyle w:val="Compact"/>
      </w:pPr>
      <w:r>
        <w:rPr>
          <w:bCs/>
          <w:b/>
        </w:rPr>
        <w:t xml:space="preserve">Sustainability as a Sales Driver:</w:t>
      </w:r>
      <w:r>
        <w:t xml:space="preserve"> </w:t>
      </w:r>
      <w:r>
        <w:t xml:space="preserve">95% of Q3 contracts included bespoke green design elements. The Architect’s ability to quantify sustainability ROI (e.g., "30% lower operational costs over 10 years") converted hesitant clients into committed partners.</w:t>
      </w:r>
    </w:p>
    <w:bookmarkEnd w:id="25"/>
    <w:bookmarkStart w:id="26" w:name="future-outlook-strategic-recommendations"/>
    <w:p>
      <w:pPr>
        <w:pStyle w:val="Heading2"/>
      </w:pPr>
      <w:r>
        <w:t xml:space="preserve">Future Outlook &amp; Strategic Recommendations</w:t>
      </w:r>
    </w:p>
    <w:p>
      <w:pPr>
        <w:pStyle w:val="FirstParagraph"/>
      </w:pPr>
      <w:r>
        <w:t xml:space="preserve">Based on the Q3 Sales Report, we project a 25% year-over-year growth in Germany Frankfurt for H1 2025, driven by the ongoing "Frankfurt Office Renaissance." Our Architect team’s focus on adaptive reuse (converting old bank buildings into tech hubs) and climate resilience will be central to this growth. Immediate recommendations include:</w:t>
      </w:r>
    </w:p>
    <w:p>
      <w:pPr>
        <w:numPr>
          <w:ilvl w:val="0"/>
          <w:numId w:val="1003"/>
        </w:numPr>
        <w:pStyle w:val="Compact"/>
      </w:pPr>
      <w:r>
        <w:t xml:space="preserve">Investing in a Frankfurt-specific BIM (Building Information Modeling) library for accelerated client presentations.</w:t>
      </w:r>
    </w:p>
    <w:p>
      <w:pPr>
        <w:numPr>
          <w:ilvl w:val="0"/>
          <w:numId w:val="1003"/>
        </w:numPr>
        <w:pStyle w:val="Compact"/>
      </w:pPr>
      <w:r>
        <w:t xml:space="preserve">Expanding the Architect team by two specialists in EU energy regulations to capitalize on new Frankfurt sustainability mandates.</w:t>
      </w:r>
    </w:p>
    <w:p>
      <w:pPr>
        <w:numPr>
          <w:ilvl w:val="0"/>
          <w:numId w:val="1003"/>
        </w:numPr>
        <w:pStyle w:val="Compact"/>
      </w:pPr>
      <w:r>
        <w:t xml:space="preserve">Hosting quarterly "Sales Through Design" workshops for clients, showcasing how our Architect approach translates to tangible financial outcomes.</w:t>
      </w:r>
    </w:p>
    <w:p>
      <w:pPr>
        <w:pStyle w:val="FirstParagraph"/>
      </w:pPr>
      <w:r>
        <w:t xml:space="preserve">This Sales Report concludes that the Architect is not a cost center but the core engine of revenue generation in Germany Frankfurt. As commercial real estate evolves toward experiential and sustainable spaces, our firm’s architectural leadership will continue to define sales success in this pivotal market.</w:t>
      </w:r>
    </w:p>
    <w:bookmarkEnd w:id="26"/>
    <w:p>
      <w:pPr>
        <w:pStyle w:val="BodyText"/>
      </w:pPr>
      <w:r>
        <w:t xml:space="preserve">Nexus Architecture Group | Frankfurt Office | Germany</w:t>
      </w:r>
    </w:p>
    <w:p>
      <w:pPr>
        <w:pStyle w:val="BodyText"/>
      </w:pPr>
      <w:r>
        <w:t xml:space="preserve">Confidential - Prepared for Internal Use Only | Q3 2024 Sales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Driving Growth in Germany Frankfurt</dc:title>
  <dc:creator/>
  <dc:language>en</dc:language>
  <cp:keywords/>
  <dcterms:created xsi:type="dcterms:W3CDTF">2026-07-21T09:09:34Z</dcterms:created>
  <dcterms:modified xsi:type="dcterms:W3CDTF">2026-07-21T09:09:34Z</dcterms:modified>
</cp:coreProperties>
</file>

<file path=docProps/custom.xml><?xml version="1.0" encoding="utf-8"?>
<Properties xmlns="http://schemas.openxmlformats.org/officeDocument/2006/custom-properties" xmlns:vt="http://schemas.openxmlformats.org/officeDocument/2006/docPropsVTypes"/>
</file>