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Solutions</w:t>
      </w:r>
      <w:r>
        <w:t xml:space="preserve"> </w:t>
      </w:r>
      <w:r>
        <w:t xml:space="preserve">Division</w:t>
      </w:r>
      <w:r>
        <w:t xml:space="preserve"> </w:t>
      </w:r>
      <w:r>
        <w:t xml:space="preserve">-</w:t>
      </w:r>
      <w:r>
        <w:t xml:space="preserve"> </w:t>
      </w:r>
      <w:r>
        <w:t xml:space="preserve">Germany</w:t>
      </w:r>
      <w:r>
        <w:t xml:space="preserve"> </w:t>
      </w:r>
      <w:r>
        <w:t xml:space="preserve">Munich</w:t>
      </w:r>
    </w:p>
    <w:bookmarkStart w:id="27" w:name="Xf9f8c77e956a4c2ebc4076afe2d20990493a6f9"/>
    <w:p>
      <w:pPr>
        <w:pStyle w:val="Heading1"/>
      </w:pPr>
      <w:r>
        <w:t xml:space="preserve">Quarterly Sales Report: Architectural Solutions Division - Germany Munich Market Performance (Q3 2023)</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the Architectural Solutions Division within our Germany Munich operations for Q3 2023. The division, comprising highly skilled Architects and sales specialists, achieved a significant milestone with a 18% year-over-year increase in contract value, totaling €4.7M. This growth is directly attributed to our strategic integration of architectural expertise with client-centric sales methodologies in the competitive Munich market. Germany Munich remains our most profitable regional hub for premium architectural services, driven by stringent local building codes (Bauordnung), sustainability mandates (e.g., Bavaria's 2030 Climate Action Plan), and demand for innovative urban solutions. The success underscores how a dedicated</w:t>
      </w:r>
      <w:r>
        <w:t xml:space="preserve"> </w:t>
      </w:r>
      <w:r>
        <w:rPr>
          <w:iCs/>
          <w:i/>
        </w:rPr>
        <w:t xml:space="preserve">Architect</w:t>
      </w:r>
      <w:r>
        <w:t xml:space="preserve"> </w:t>
      </w:r>
      <w:r>
        <w:t xml:space="preserve">profile—combining technical mastery with sales acumen—is pivotal to our market leadership in</w:t>
      </w:r>
      <w:r>
        <w:t xml:space="preserve"> </w:t>
      </w:r>
      <w:r>
        <w:rPr>
          <w:bCs/>
          <w:b/>
        </w:rPr>
        <w:t xml:space="preserve">Germany Munich</w:t>
      </w:r>
      <w:r>
        <w:t xml:space="preserve">.</w:t>
      </w:r>
    </w:p>
    <w:bookmarkEnd w:id="20"/>
    <w:bookmarkStart w:id="21" w:name="Xdb61527af94606f266896e379e6df76cb39c96b"/>
    <w:p>
      <w:pPr>
        <w:pStyle w:val="Heading2"/>
      </w:pPr>
      <w:r>
        <w:t xml:space="preserve">II. Market Analysis: Germany Munich Context</w:t>
      </w:r>
    </w:p>
    <w:p>
      <w:pPr>
        <w:pStyle w:val="FirstParagraph"/>
      </w:pPr>
      <w:r>
        <w:t xml:space="preserve">Munich's real estate landscape presents unique opportunities and challenges for architectural firms. As the economic engine of Bavaria, the city is witnessing accelerated demand for mixed-use developments (e.g., near BMW Headquarters in Unterschleißheim), sustainable residential towers (meeting Passive House standards), and adaptive reuse projects in historic districts like Lehel. Crucially,</w:t>
      </w:r>
      <w:r>
        <w:t xml:space="preserve"> </w:t>
      </w:r>
      <w:r>
        <w:rPr>
          <w:bCs/>
          <w:b/>
        </w:rPr>
        <w:t xml:space="preserve">Germany Munich</w:t>
      </w:r>
      <w:r>
        <w:t xml:space="preserve"> </w:t>
      </w:r>
      <w:r>
        <w:t xml:space="preserve">clients prioritize Architects who understand both aesthetic vision and technical compliance. Our Sales Report data confirms that 87% of new client acquisition was driven by referrals from architects who demonstrated measurable value—proving that the role of the Architect is not merely design-focused but fundamentally sales-driven in this market.</w:t>
      </w:r>
    </w:p>
    <w:p>
      <w:pPr>
        <w:pStyle w:val="BodyText"/>
      </w:pPr>
      <w:r>
        <w:t xml:space="preserve">The local regulatory environment (e.g., Münchner Bauordnungsbehörde) demands precision. In Q3, our Architects successfully navigated complex zoning laws for a €1.2M commercial retrofit at Karlsplatz, directly contributing to a 35% upsell in services due to their ability to articulate technical solutions as strategic business assets—a key differentiator over generic competitors.</w:t>
      </w:r>
    </w:p>
    <w:bookmarkEnd w:id="21"/>
    <w:bookmarkStart w:id="22" w:name="X76a924f2965bf5ffe5b77f2114f568a70be0855"/>
    <w:p>
      <w:pPr>
        <w:pStyle w:val="Heading2"/>
      </w:pPr>
      <w:r>
        <w:t xml:space="preserve">III. Sales Performance: Architect-Driven Results</w:t>
      </w:r>
    </w:p>
    <w:p>
      <w:pPr>
        <w:pStyle w:val="FirstParagraph"/>
      </w:pPr>
      <w:r>
        <w:t xml:space="preserve">The core strength of our division is the</w:t>
      </w:r>
      <w:r>
        <w:t xml:space="preserve"> </w:t>
      </w:r>
      <w:r>
        <w:rPr>
          <w:iCs/>
          <w:i/>
        </w:rPr>
        <w:t xml:space="preserve">Architect-as-Sales-Partner</w:t>
      </w:r>
      <w:r>
        <w:t xml:space="preserve"> </w:t>
      </w:r>
      <w:r>
        <w:t xml:space="preserve">model. Unlike traditional sales teams, our Architects lead discovery calls, co-create proposals with clients, and present technical solutions as ROI-driven investments. This approach yielded exceptional results:</w:t>
      </w:r>
    </w:p>
    <w:p>
      <w:pPr>
        <w:numPr>
          <w:ilvl w:val="0"/>
          <w:numId w:val="1001"/>
        </w:numPr>
        <w:pStyle w:val="Compact"/>
      </w:pPr>
      <w:r>
        <w:rPr>
          <w:bCs/>
          <w:b/>
        </w:rPr>
        <w:t xml:space="preserve">Win Rate Increase:</w:t>
      </w:r>
      <w:r>
        <w:t xml:space="preserve"> </w:t>
      </w:r>
      <w:r>
        <w:t xml:space="preserve">62% (vs. industry avg. 48%) for projects requiring architectural input.</w:t>
      </w:r>
    </w:p>
    <w:p>
      <w:pPr>
        <w:numPr>
          <w:ilvl w:val="0"/>
          <w:numId w:val="1001"/>
        </w:numPr>
        <w:pStyle w:val="Compact"/>
      </w:pPr>
      <w:r>
        <w:rPr>
          <w:bCs/>
          <w:b/>
        </w:rPr>
        <w:t xml:space="preserve">Average Deal Size:</w:t>
      </w:r>
      <w:r>
        <w:t xml:space="preserve"> </w:t>
      </w:r>
      <w:r>
        <w:t xml:space="preserve">€215,000 (up 19% YoY), driven by Architects bundling design + sustainability certification services.</w:t>
      </w:r>
    </w:p>
    <w:p>
      <w:pPr>
        <w:numPr>
          <w:ilvl w:val="0"/>
          <w:numId w:val="1001"/>
        </w:numPr>
        <w:pStyle w:val="Compact"/>
      </w:pPr>
      <w:r>
        <w:rPr>
          <w:bCs/>
          <w:b/>
        </w:rPr>
        <w:t xml:space="preserve">Client Retention:</w:t>
      </w:r>
      <w:r>
        <w:t xml:space="preserve"> </w:t>
      </w:r>
      <w:r>
        <w:t xml:space="preserve">94% (vs. 82% industry avg.), fueled by Architects proactively identifying renewal opportunities during project phases.</w:t>
      </w:r>
    </w:p>
    <w:p>
      <w:pPr>
        <w:pStyle w:val="FirstParagraph"/>
      </w:pPr>
      <w:r>
        <w:t xml:space="preserve">A standout case was the Munich Central Station masterplan (€3.1M contract). Our lead Architect, Lena Hofmann, didn't just design; she presented a phased implementation strategy showing 25% cost savings via integrated BIM workflows. This directly influenced the client's decision to award us the full scope—a testament to how architectural expertise elevates sales outcomes in</w:t>
      </w:r>
      <w:r>
        <w:t xml:space="preserve"> </w:t>
      </w:r>
      <w:r>
        <w:rPr>
          <w:bCs/>
          <w:b/>
        </w:rPr>
        <w:t xml:space="preserve">Germany Munich</w:t>
      </w:r>
      <w:r>
        <w:t xml:space="preserve">.</w:t>
      </w:r>
    </w:p>
    <w:bookmarkEnd w:id="22"/>
    <w:bookmarkStart w:id="23" w:name="X9a70d199912903b94d274ba28b02a4bd221dd5c"/>
    <w:p>
      <w:pPr>
        <w:pStyle w:val="Heading2"/>
      </w:pPr>
      <w:r>
        <w:t xml:space="preserve">IV. Competitive Positioning &amp; Differentiation</w:t>
      </w:r>
    </w:p>
    <w:p>
      <w:pPr>
        <w:pStyle w:val="FirstParagraph"/>
      </w:pPr>
      <w:r>
        <w:t xml:space="preserve">In a market saturated with generic architectural firms, our Sales Report identifies three key differentiators where the Architect role is central:</w:t>
      </w:r>
    </w:p>
    <w:p>
      <w:pPr>
        <w:numPr>
          <w:ilvl w:val="0"/>
          <w:numId w:val="1002"/>
        </w:numPr>
        <w:pStyle w:val="Compact"/>
      </w:pPr>
      <w:r>
        <w:rPr>
          <w:iCs/>
          <w:i/>
        </w:rPr>
        <w:t xml:space="preserve">Sustainability as Sales Driver:</w:t>
      </w:r>
      <w:r>
        <w:t xml:space="preserve"> </w:t>
      </w:r>
      <w:r>
        <w:t xml:space="preserve">In Munich, 78% of clients now prioritize CO2-neutral designs. Our Architects lead green certification (DGNB/LEED) discussions, turning compliance into a sales advantage. Example: For the new Energiepark project, our Architect's carbon audit reduced client fees by €450K through early material selection—directly boosting contract value.</w:t>
      </w:r>
    </w:p>
    <w:p>
      <w:pPr>
        <w:numPr>
          <w:ilvl w:val="0"/>
          <w:numId w:val="1002"/>
        </w:numPr>
        <w:pStyle w:val="Compact"/>
      </w:pPr>
      <w:r>
        <w:rPr>
          <w:iCs/>
          <w:i/>
        </w:rPr>
        <w:t xml:space="preserve">Local Regulatory Fluency:</w:t>
      </w:r>
      <w:r>
        <w:t xml:space="preserve"> </w:t>
      </w:r>
      <w:r>
        <w:t xml:space="preserve">Architects fluent in Munich-specific regulations (e.g., "Altstadtbausatz") prevented costly redesigns for 9 of 12 major projects, a capability competitors lack. This reliability became a recurring sales point.</w:t>
      </w:r>
    </w:p>
    <w:p>
      <w:pPr>
        <w:numPr>
          <w:ilvl w:val="0"/>
          <w:numId w:val="1002"/>
        </w:numPr>
        <w:pStyle w:val="Compact"/>
      </w:pPr>
      <w:r>
        <w:rPr>
          <w:iCs/>
          <w:i/>
        </w:rPr>
        <w:t xml:space="preserve">Sales Integration:</w:t>
      </w:r>
      <w:r>
        <w:t xml:space="preserve"> </w:t>
      </w:r>
      <w:r>
        <w:t xml:space="preserve">Our Architects co-manage client pipelines with sales reps, ensuring technical alignment from day one. This reduced proposal cycles by 30% and increased close rates by 22% in Q3.</w:t>
      </w:r>
    </w:p>
    <w:bookmarkEnd w:id="23"/>
    <w:bookmarkStart w:id="24" w:name="v.-challenges-strategic-adjustments"/>
    <w:p>
      <w:pPr>
        <w:pStyle w:val="Heading2"/>
      </w:pPr>
      <w:r>
        <w:t xml:space="preserve">V. Challenges &amp; Strategic Adjustments</w:t>
      </w:r>
    </w:p>
    <w:p>
      <w:pPr>
        <w:pStyle w:val="FirstParagraph"/>
      </w:pPr>
      <w:r>
        <w:t xml:space="preserve">Despite success, our Sales Report highlights two challenges unique to the Germany Munich market:</w:t>
      </w:r>
    </w:p>
    <w:p>
      <w:pPr>
        <w:numPr>
          <w:ilvl w:val="0"/>
          <w:numId w:val="1003"/>
        </w:numPr>
        <w:pStyle w:val="Compact"/>
      </w:pPr>
      <w:r>
        <w:rPr>
          <w:iCs/>
          <w:i/>
        </w:rPr>
        <w:t xml:space="preserve">Talent Shortage:</w:t>
      </w:r>
      <w:r>
        <w:t xml:space="preserve"> </w:t>
      </w:r>
      <w:r>
        <w:t xml:space="preserve">Demand for Architects with sales training exceeds supply by 35%. To counter this, we launched a "Sales-Architect Certification" program in Q3 (27% completion rate), focusing on consultative selling techniques for technical audiences.</w:t>
      </w:r>
    </w:p>
    <w:p>
      <w:pPr>
        <w:numPr>
          <w:ilvl w:val="0"/>
          <w:numId w:val="1003"/>
        </w:numPr>
        <w:pStyle w:val="Compact"/>
      </w:pPr>
      <w:r>
        <w:rPr>
          <w:iCs/>
          <w:i/>
        </w:rPr>
        <w:t xml:space="preserve">Cost Pressures:</w:t>
      </w:r>
      <w:r>
        <w:t xml:space="preserve"> </w:t>
      </w:r>
      <w:r>
        <w:t xml:space="preserve">Munich's high construction costs led some clients to prioritize price over innovation. Our Architects addressed this by developing modular design packages with fixed pricing—resulting in a 15% uptake in Q3.</w:t>
      </w:r>
    </w:p>
    <w:p>
      <w:pPr>
        <w:pStyle w:val="FirstParagraph"/>
      </w:pPr>
      <w:r>
        <w:t xml:space="preserve">Adjustments include expanding our Munich-based Architect team by 12% and partnering with Technical University of Munich (TUM) for talent pipeline development. These steps directly target the core requirement for an Architect who can drive sales in</w:t>
      </w:r>
      <w:r>
        <w:t xml:space="preserve"> </w:t>
      </w:r>
      <w:r>
        <w:rPr>
          <w:bCs/>
          <w:b/>
        </w:rPr>
        <w:t xml:space="preserve">Germany Munich</w:t>
      </w:r>
      <w:r>
        <w:t xml:space="preserve">'s demanding environment.</w:t>
      </w:r>
    </w:p>
    <w:bookmarkEnd w:id="24"/>
    <w:bookmarkStart w:id="25" w:name="X7433c9ef969b22791c1276ba9084f632af94b08"/>
    <w:p>
      <w:pPr>
        <w:pStyle w:val="Heading2"/>
      </w:pPr>
      <w:r>
        <w:t xml:space="preserve">VI. Future Outlook &amp; Strategic Focus (Q4 2023)</w:t>
      </w:r>
    </w:p>
    <w:p>
      <w:pPr>
        <w:pStyle w:val="FirstParagraph"/>
      </w:pPr>
      <w:r>
        <w:t xml:space="preserve">The Sales Report forecasts continued growth for our Architect-led model in Germany Munich, with Q4 target of €5.1M (9% MoM growth). Key initiatives include:</w:t>
      </w:r>
    </w:p>
    <w:p>
      <w:pPr>
        <w:numPr>
          <w:ilvl w:val="0"/>
          <w:numId w:val="1004"/>
        </w:numPr>
        <w:pStyle w:val="Compact"/>
      </w:pPr>
      <w:r>
        <w:t xml:space="preserve">Launching a "Sustainability Sales Toolkit" co-created by Architects to streamline ESG discussions.</w:t>
      </w:r>
    </w:p>
    <w:p>
      <w:pPr>
        <w:numPr>
          <w:ilvl w:val="0"/>
          <w:numId w:val="1004"/>
        </w:numPr>
        <w:pStyle w:val="Compact"/>
      </w:pPr>
      <w:r>
        <w:t xml:space="preserve">Targeting Munich's 2030 housing initiative through Architect-driven workshops with local municipalities (e.g., Stadtentwicklung München).</w:t>
      </w:r>
    </w:p>
    <w:p>
      <w:pPr>
        <w:numPr>
          <w:ilvl w:val="0"/>
          <w:numId w:val="1004"/>
        </w:numPr>
        <w:pStyle w:val="Compact"/>
      </w:pPr>
      <w:r>
        <w:t xml:space="preserve">Developing digital sales assets (3D walkthroughs, carbon calculators) led by our Architect team to accelerate client decision-making.</w:t>
      </w:r>
    </w:p>
    <w:p>
      <w:pPr>
        <w:pStyle w:val="FirstParagraph"/>
      </w:pPr>
      <w:r>
        <w:t xml:space="preserve">As we enter the final quarter, our data confirms that the most successful sales outcomes in Munich are consistently achieved when the</w:t>
      </w:r>
      <w:r>
        <w:t xml:space="preserve"> </w:t>
      </w:r>
      <w:r>
        <w:rPr>
          <w:iCs/>
          <w:i/>
        </w:rPr>
        <w:t xml:space="preserve">Architect</w:t>
      </w:r>
      <w:r>
        <w:t xml:space="preserve"> </w:t>
      </w:r>
      <w:r>
        <w:t xml:space="preserve">is positioned as a strategic partner—not just a designer. This integration of architectural excellence and sales strategy remains our competitive edge in</w:t>
      </w:r>
      <w:r>
        <w:t xml:space="preserve"> </w:t>
      </w:r>
      <w:r>
        <w:rPr>
          <w:bCs/>
          <w:b/>
        </w:rPr>
        <w:t xml:space="preserve">Germany Munich</w:t>
      </w:r>
      <w:r>
        <w:t xml:space="preserve">. The Sales Report underscores that investing in Architects who understand market dynamics, regulatory landscapes, and client economics isn't just beneficial—it's the engine of growth.</w:t>
      </w:r>
    </w:p>
    <w:bookmarkEnd w:id="25"/>
    <w:bookmarkStart w:id="26" w:name="vii.-conclusion"/>
    <w:p>
      <w:pPr>
        <w:pStyle w:val="Heading2"/>
      </w:pPr>
      <w:r>
        <w:t xml:space="preserve">VII. Conclusion</w:t>
      </w:r>
    </w:p>
    <w:p>
      <w:pPr>
        <w:pStyle w:val="FirstParagraph"/>
      </w:pPr>
      <w:r>
        <w:t xml:space="preserve">The Q3 Sales Report for Germany Munich affirms that our Architect-led sales approach is not merely a model but a necessity in this sophisticated market. By empowering Architects to engage deeply with the commercial aspects of projects—from regulatory navigation to ROI articulation—we have transformed design services into measurable revenue drivers. As Munich continues its evolution as Europe's green-tech hub, the role of the Architect as a sales catalyst will only deepen. We recommend doubling down on cross-training our Architect team in sales methodologies and expanding our Munich partnership ecosystem to capture emerging opportunities in sustainable urbanism.</w:t>
      </w:r>
    </w:p>
    <w:p>
      <w:pPr>
        <w:pStyle w:val="BodyText"/>
      </w:pPr>
      <w:r>
        <w:rPr>
          <w:bCs/>
          <w:b/>
        </w:rPr>
        <w:t xml:space="preserve">Report Prepared By:</w:t>
      </w:r>
      <w:r>
        <w:t xml:space="preserve"> </w:t>
      </w:r>
      <w:r>
        <w:t xml:space="preserve">Global Sales Intelligence Unit | Munich Operations</w:t>
      </w:r>
      <w:r>
        <w:br/>
      </w:r>
      <w:r>
        <w:rPr>
          <w:bCs/>
          <w:b/>
        </w:rPr>
        <w:t xml:space="preserve">Key Metric Summary:</w:t>
      </w:r>
      <w:r>
        <w:t xml:space="preserve"> </w:t>
      </w:r>
      <w:r>
        <w:t xml:space="preserve">Total Revenue: €4.7M (18% YoY ↑), Win Rate: 62%, Client Retention: 94%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Solutions Division - Germany Munich</dc:title>
  <dc:creator/>
  <dc:language>en</dc:language>
  <cp:keywords/>
  <dcterms:created xsi:type="dcterms:W3CDTF">2026-05-03T15:13:03Z</dcterms:created>
  <dcterms:modified xsi:type="dcterms:W3CDTF">2026-05-03T15:13:03Z</dcterms:modified>
</cp:coreProperties>
</file>

<file path=docProps/custom.xml><?xml version="1.0" encoding="utf-8"?>
<Properties xmlns="http://schemas.openxmlformats.org/officeDocument/2006/custom-properties" xmlns:vt="http://schemas.openxmlformats.org/officeDocument/2006/docPropsVTypes"/>
</file>