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Services</w:t>
      </w:r>
      <w:r>
        <w:t xml:space="preserve"> </w:t>
      </w:r>
      <w:r>
        <w:t xml:space="preserve">in</w:t>
      </w:r>
      <w:r>
        <w:t xml:space="preserve"> </w:t>
      </w:r>
      <w:r>
        <w:t xml:space="preserve">Ghana</w:t>
      </w:r>
      <w:r>
        <w:t xml:space="preserve"> </w:t>
      </w:r>
      <w:r>
        <w:t xml:space="preserve">Accra</w:t>
      </w:r>
    </w:p>
    <w:bookmarkStart w:id="31" w:name="X072305aae0b78cc026a63c4d52cfee3ec83240b"/>
    <w:p>
      <w:pPr>
        <w:pStyle w:val="Heading1"/>
      </w:pPr>
      <w:r>
        <w:t xml:space="preserve">Professional Sales Report: Architectural Service Performance in Ghana Accra</w:t>
      </w:r>
    </w:p>
    <w:bookmarkStart w:id="20" w:name="executive-summary"/>
    <w:p>
      <w:pPr>
        <w:pStyle w:val="Heading2"/>
      </w:pPr>
      <w:r>
        <w:t xml:space="preserve">Executive Summary</w:t>
      </w:r>
    </w:p>
    <w:p>
      <w:pPr>
        <w:pStyle w:val="FirstParagraph"/>
      </w:pPr>
      <w:r>
        <w:t xml:space="preserve">This comprehensive Sales Report details the performance of architectural services across the vibrant urban landscape of Ghana Accra during Q3 2023. As a leading architectural practice serving Ghana's capital, we've achieved significant milestones in client acquisition, project execution, and market positioning. This document synthesizes critical sales metrics, client satisfaction data, and strategic insights specifically tailored for the Accra architectural market ecosystem. The report underscores how our firm's adaptive approach to Ghanaian construction demands has driven a 22% year-over-year sales growth in this pivotal West African hub.</w:t>
      </w:r>
    </w:p>
    <w:bookmarkEnd w:id="20"/>
    <w:bookmarkStart w:id="21" w:name="X3c1cc7ed00db6bfc3ba2018424da98cdd29a1a5"/>
    <w:p>
      <w:pPr>
        <w:pStyle w:val="Heading2"/>
      </w:pPr>
      <w:r>
        <w:t xml:space="preserve">Market Context: Architectural Demand in Accra</w:t>
      </w:r>
    </w:p>
    <w:p>
      <w:pPr>
        <w:pStyle w:val="FirstParagraph"/>
      </w:pPr>
      <w:r>
        <w:t xml:space="preserve">Ghana Accra continues to experience unprecedented urbanization, with the Greater Accra Region absorbing 45% of the nation's construction investment. This growth trajectory creates exceptional opportunities for architects specializing in sustainable urban development, mixed-use complexes, and affordable housing solutions. Our Sales Report reveals that 78% of our current pipeline originates from Accra-based clients—ranging from real estate developers to government agencies like the Ghana Housing Company and Accra Metropolitan Assembly (AMA). The unique architectural challenges of Accra's climate, cultural context, and infrastructure constraints necessitate localized design expertise that transcends generic international practices. This report demonstrates how our firm has leveraged deep Ghanaian market intelligence to differentiate our architectural service offerings.</w:t>
      </w:r>
    </w:p>
    <w:bookmarkEnd w:id="21"/>
    <w:bookmarkStart w:id="22" w:name="sales-performance-analysis-key-metrics"/>
    <w:p>
      <w:pPr>
        <w:pStyle w:val="Heading2"/>
      </w:pPr>
      <w:r>
        <w:t xml:space="preserve">Sales Performance Analysis: Key Metrics</w:t>
      </w:r>
    </w:p>
    <w:p>
      <w:pPr>
        <w:pStyle w:val="FirstParagraph"/>
      </w:pPr>
      <w:r>
        <w:t xml:space="preserve">Performance Metric</w:t>
      </w:r>
    </w:p>
    <w:p>
      <w:pPr>
        <w:pStyle w:val="BodyText"/>
      </w:pPr>
      <w:r>
        <w:t xml:space="preserve">Q3 2023</w:t>
      </w:r>
    </w:p>
    <w:p>
      <w:pPr>
        <w:pStyle w:val="BodyText"/>
      </w:pPr>
      <w:r>
        <w:t xml:space="preserve">Q3 2022 (YoY)</w:t>
      </w:r>
    </w:p>
    <w:p>
      <w:pPr>
        <w:pStyle w:val="BodyText"/>
      </w:pPr>
      <w:r>
        <w:t xml:space="preserve">Variance</w:t>
      </w:r>
    </w:p>
    <w:p>
      <w:pPr>
        <w:pStyle w:val="BodyText"/>
      </w:pPr>
      <w:r>
        <w:t xml:space="preserve">New Client Acquisition</w:t>
      </w:r>
    </w:p>
    <w:p>
      <w:pPr>
        <w:pStyle w:val="BodyText"/>
      </w:pPr>
      <w:r>
        <w:t xml:space="preserve">14 Projects</w:t>
      </w:r>
    </w:p>
    <w:p>
      <w:pPr>
        <w:pStyle w:val="BodyText"/>
      </w:pPr>
      <w:r>
        <w:t xml:space="preserve">9 Projects</w:t>
      </w:r>
    </w:p>
    <w:p>
      <w:pPr>
        <w:pStyle w:val="BodyText"/>
      </w:pPr>
      <w:r>
        <w:t xml:space="preserve">+55.6%</w:t>
      </w:r>
    </w:p>
    <w:p>
      <w:pPr>
        <w:pStyle w:val="BodyText"/>
      </w:pPr>
      <w:r>
        <w:t xml:space="preserve">Total Project Value (GHS)</w:t>
      </w:r>
    </w:p>
    <w:p>
      <w:pPr>
        <w:pStyle w:val="BodyText"/>
      </w:pPr>
      <w:r>
        <w:t xml:space="preserve">8,240,000</w:t>
      </w:r>
    </w:p>
    <w:p>
      <w:pPr>
        <w:pStyle w:val="BodyText"/>
      </w:pPr>
      <w:r>
        <w:t xml:space="preserve">6,750,000</w:t>
      </w:r>
    </w:p>
    <w:p>
      <w:pPr>
        <w:pStyle w:val="BodyText"/>
      </w:pPr>
      <w:r>
        <w:t xml:space="preserve">+22.1%</w:t>
      </w:r>
    </w:p>
    <w:p>
      <w:pPr>
        <w:pStyle w:val="BodyText"/>
      </w:pPr>
      <w:r>
        <w:t xml:space="preserve">Client Retention Rate</w:t>
      </w:r>
    </w:p>
    <w:p>
      <w:pPr>
        <w:pStyle w:val="BodyText"/>
      </w:pPr>
      <w:r>
        <w:t xml:space="preserve">83%</w:t>
      </w:r>
    </w:p>
    <w:p>
      <w:pPr>
        <w:pStyle w:val="BodyText"/>
      </w:pPr>
      <w:r>
        <w:t xml:space="preserve">76%</w:t>
      </w:r>
    </w:p>
    <w:p>
      <w:pPr>
        <w:pStyle w:val="BodyText"/>
      </w:pPr>
      <w:r>
        <w:t xml:space="preserve">+7.0 percentage points</w:t>
      </w:r>
    </w:p>
    <w:p>
      <w:pPr>
        <w:pStyle w:val="BodyText"/>
      </w:pPr>
      <w:r>
        <w:t xml:space="preserve">Avg. Project Timeline (Days)</w:t>
      </w:r>
    </w:p>
    <w:p>
      <w:pPr>
        <w:pStyle w:val="BodyText"/>
      </w:pPr>
      <w:r>
        <w:t xml:space="preserve">128</w:t>
      </w:r>
    </w:p>
    <w:p>
      <w:pPr>
        <w:pStyle w:val="BodyText"/>
      </w:pPr>
      <w:r>
        <w:t xml:space="preserve">152</w:t>
      </w:r>
    </w:p>
    <w:p>
      <w:pPr>
        <w:pStyle w:val="BodyText"/>
      </w:pPr>
      <w:r>
        <w:t xml:space="preserve">-15.8% (Faster Delivery)</w:t>
      </w:r>
    </w:p>
    <w:p>
      <w:pPr>
        <w:pStyle w:val="BodyText"/>
      </w:pPr>
      <w:r>
        <w:t xml:space="preserve">The data confirms that our architectural sales strategy in Ghana Accra has gained significant traction. Notably, our 76% client retention rate—exceeding the national industry average of 68%—demonstrates exceptional service quality in a competitive market. This success stems from culturally attuned design processes: we integrate traditional Ghanaian spatial concepts with contemporary needs during initial consultations, directly addressing Accra's unique urban fabric concerns that many international firms overlook.</w:t>
      </w:r>
    </w:p>
    <w:bookmarkEnd w:id="22"/>
    <w:bookmarkStart w:id="26" w:name="key-projects-driving-sales-growth"/>
    <w:p>
      <w:pPr>
        <w:pStyle w:val="Heading2"/>
      </w:pPr>
      <w:r>
        <w:t xml:space="preserve">Key Projects Driving Sales Growth</w:t>
      </w:r>
    </w:p>
    <w:bookmarkStart w:id="23" w:name="Xb48064669916f7bbb682fcb4f06e17ac110dda8"/>
    <w:p>
      <w:pPr>
        <w:pStyle w:val="Heading3"/>
      </w:pPr>
      <w:r>
        <w:t xml:space="preserve">1. The Tema Waterfront Luxury Residences (Accra)</w:t>
      </w:r>
    </w:p>
    <w:p>
      <w:pPr>
        <w:pStyle w:val="FirstParagraph"/>
      </w:pPr>
      <w:r>
        <w:t xml:space="preserve">This 58-unit high-rise development for Coastal Properties Ltd. represents our largest single-sale project to date (GHS 2,400,000). Our architect's innovative solution addressed Accra's coastal wind patterns while incorporating local artistry—reducing construction costs by 18% through material sourcing partnerships with Ashanti-based artisans. The project secured Ghanaian Architectural Award nomination and generated three referral clients.</w:t>
      </w:r>
    </w:p>
    <w:bookmarkEnd w:id="23"/>
    <w:bookmarkStart w:id="24" w:name="Xdf6d85e47df9797f26224e066c8f9c0f3d1258f"/>
    <w:p>
      <w:pPr>
        <w:pStyle w:val="Heading3"/>
      </w:pPr>
      <w:r>
        <w:t xml:space="preserve">2. AMA Community Health Centers Modernization (Accra Districts)</w:t>
      </w:r>
    </w:p>
    <w:p>
      <w:pPr>
        <w:pStyle w:val="FirstParagraph"/>
      </w:pPr>
      <w:r>
        <w:t xml:space="preserve">A government contract securing GHS 1,850,000 demonstrates our firm's capacity to deliver public infrastructure projects meeting Ghana's National Health Policy standards. Our architect designed solar-integrated facilities that reduced long-term operational costs by 32%, directly appealing to Accra's municipal budget constraints. This project generated a strategic partnership with the Ministry of Works.</w:t>
      </w:r>
    </w:p>
    <w:bookmarkEnd w:id="24"/>
    <w:bookmarkStart w:id="25" w:name="Xdee0af1f5e484014b8cf259ba562c54f08add46"/>
    <w:p>
      <w:pPr>
        <w:pStyle w:val="Heading3"/>
      </w:pPr>
      <w:r>
        <w:t xml:space="preserve">3. Koforidua Mixed-Use Commercial Hub (Accra-Adjacent)</w:t>
      </w:r>
    </w:p>
    <w:p>
      <w:pPr>
        <w:pStyle w:val="FirstParagraph"/>
      </w:pPr>
      <w:r>
        <w:t xml:space="preserve">Though technically outside Accra city limits, this project exemplifies our expanding regional influence within Ghana's development corridor. Our architect adapted Accra's urban planning principles to accommodate rural-urban migration patterns, securing 12% higher client satisfaction scores than comparable projects in the region.</w:t>
      </w:r>
    </w:p>
    <w:bookmarkEnd w:id="25"/>
    <w:bookmarkEnd w:id="26"/>
    <w:bookmarkStart w:id="27" w:name="Xaf78380d2df66abc12b7116cdff09d64ed1a137"/>
    <w:p>
      <w:pPr>
        <w:pStyle w:val="Heading2"/>
      </w:pPr>
      <w:r>
        <w:t xml:space="preserve">Client Satisfaction Insights: Why Architects Win in Ghana Accra</w:t>
      </w:r>
    </w:p>
    <w:p>
      <w:pPr>
        <w:pStyle w:val="FirstParagraph"/>
      </w:pPr>
      <w:r>
        <w:t xml:space="preserve">A post-project survey of 47 clients confirmed that our architectural service differentiation lies in three critical areas:</w:t>
      </w:r>
    </w:p>
    <w:p>
      <w:pPr>
        <w:numPr>
          <w:ilvl w:val="0"/>
          <w:numId w:val="1001"/>
        </w:numPr>
        <w:pStyle w:val="Compact"/>
      </w:pPr>
      <w:r>
        <w:rPr>
          <w:bCs/>
          <w:b/>
        </w:rPr>
        <w:t xml:space="preserve">Cultural Intelligence:</w:t>
      </w:r>
      <w:r>
        <w:t xml:space="preserve"> </w:t>
      </w:r>
      <w:r>
        <w:t xml:space="preserve">91% cited our understanding of Ghanaian social dynamics as pivotal to project success—e.g., designing communal spaces honoring Akwambo traditions in residential communities.</w:t>
      </w:r>
    </w:p>
    <w:p>
      <w:pPr>
        <w:numPr>
          <w:ilvl w:val="0"/>
          <w:numId w:val="1001"/>
        </w:numPr>
        <w:pStyle w:val="Compact"/>
      </w:pPr>
      <w:r>
        <w:rPr>
          <w:bCs/>
          <w:b/>
        </w:rPr>
        <w:t xml:space="preserve">Regulatory Navigation:</w:t>
      </w:r>
      <w:r>
        <w:t xml:space="preserve"> </w:t>
      </w:r>
      <w:r>
        <w:t xml:space="preserve">85% praised our mastery of Accra's complex building permit processes through AMA, with projects completing permitting 27 days faster than industry average.</w:t>
      </w:r>
    </w:p>
    <w:p>
      <w:pPr>
        <w:numPr>
          <w:ilvl w:val="0"/>
          <w:numId w:val="1001"/>
        </w:numPr>
        <w:pStyle w:val="Compact"/>
      </w:pPr>
      <w:r>
        <w:rPr>
          <w:bCs/>
          <w:b/>
        </w:rPr>
        <w:t xml:space="preserve">Sustainable Local Sourcing:</w:t>
      </w:r>
      <w:r>
        <w:t xml:space="preserve"> </w:t>
      </w:r>
      <w:r>
        <w:t xml:space="preserve">Clients reported 63% cost savings from our network of Ghanaian material suppliers, addressing Accra's construction inflation challenges (18.7% YoY in Q3).</w:t>
      </w:r>
    </w:p>
    <w:bookmarkEnd w:id="27"/>
    <w:bookmarkStart w:id="28" w:name="challenges-and-strategic-adaptations"/>
    <w:p>
      <w:pPr>
        <w:pStyle w:val="Heading2"/>
      </w:pPr>
      <w:r>
        <w:t xml:space="preserve">Challenges and Strategic Adaptations</w:t>
      </w:r>
    </w:p>
    <w:p>
      <w:pPr>
        <w:pStyle w:val="FirstParagraph"/>
      </w:pPr>
      <w:r>
        <w:t xml:space="preserve">This Sales Report identifies key market headwinds requiring architectural innovation in Ghana Accra:</w:t>
      </w:r>
    </w:p>
    <w:p>
      <w:pPr>
        <w:numPr>
          <w:ilvl w:val="0"/>
          <w:numId w:val="1002"/>
        </w:numPr>
        <w:pStyle w:val="Compact"/>
      </w:pPr>
      <w:r>
        <w:rPr>
          <w:bCs/>
          <w:b/>
        </w:rPr>
        <w:t xml:space="preserve">Material Cost Volatility:</w:t>
      </w:r>
      <w:r>
        <w:t xml:space="preserve"> </w:t>
      </w:r>
      <w:r>
        <w:t xml:space="preserve">Our architect team developed a dynamic pricing model tied to local commodity indices, preventing 15+ project cancellations during Q3's cement price spikes.</w:t>
      </w:r>
    </w:p>
    <w:p>
      <w:pPr>
        <w:numPr>
          <w:ilvl w:val="0"/>
          <w:numId w:val="1002"/>
        </w:numPr>
        <w:pStyle w:val="Compact"/>
      </w:pPr>
      <w:r>
        <w:rPr>
          <w:bCs/>
          <w:b/>
        </w:rPr>
        <w:t xml:space="preserve">Client Education Gaps:</w:t>
      </w:r>
      <w:r>
        <w:t xml:space="preserve"> </w:t>
      </w:r>
      <w:r>
        <w:t xml:space="preserve">We implemented free "Accra Urban Design Workshops" for new clients, reducing change-order requests by 38% through better expectation alignment.</w:t>
      </w:r>
    </w:p>
    <w:p>
      <w:pPr>
        <w:numPr>
          <w:ilvl w:val="0"/>
          <w:numId w:val="1002"/>
        </w:numPr>
        <w:pStyle w:val="Compact"/>
      </w:pPr>
      <w:r>
        <w:rPr>
          <w:bCs/>
          <w:b/>
        </w:rPr>
        <w:t xml:space="preserve">Sustainability Mandates:</w:t>
      </w:r>
      <w:r>
        <w:t xml:space="preserve"> </w:t>
      </w:r>
      <w:r>
        <w:t xml:space="preserve">In response to Ghana's Climate Change Policy, our architect created a certified Green Building Framework specifically for Accra's tropical conditions—now requested in 74% of new proposals.</w:t>
      </w:r>
    </w:p>
    <w:bookmarkEnd w:id="28"/>
    <w:bookmarkStart w:id="29" w:name="X6e8c5c7b5c9a7865197cdf99b7032c5f45aeef8"/>
    <w:p>
      <w:pPr>
        <w:pStyle w:val="Heading2"/>
      </w:pPr>
      <w:r>
        <w:t xml:space="preserve">Future Sales Strategy: Scaling Architectural Leadership in Accra</w:t>
      </w:r>
    </w:p>
    <w:p>
      <w:pPr>
        <w:pStyle w:val="FirstParagraph"/>
      </w:pPr>
      <w:r>
        <w:t xml:space="preserve">Based on this Sales Report analysis, we recommend three targeted initiatives to maintain our market position:</w:t>
      </w:r>
    </w:p>
    <w:p>
      <w:pPr>
        <w:numPr>
          <w:ilvl w:val="0"/>
          <w:numId w:val="1003"/>
        </w:numPr>
        <w:pStyle w:val="Compact"/>
      </w:pPr>
      <w:r>
        <w:rPr>
          <w:bCs/>
          <w:b/>
        </w:rPr>
        <w:t xml:space="preserve">Establish an Accra Design Studio Network:</w:t>
      </w:r>
      <w:r>
        <w:t xml:space="preserve"> </w:t>
      </w:r>
      <w:r>
        <w:t xml:space="preserve">Opening satellite offices in Osu and East Legon to deepen community engagement—projected to capture 25% more local government contracts.</w:t>
      </w:r>
    </w:p>
    <w:p>
      <w:pPr>
        <w:numPr>
          <w:ilvl w:val="0"/>
          <w:numId w:val="1003"/>
        </w:numPr>
        <w:pStyle w:val="Compact"/>
      </w:pPr>
      <w:r>
        <w:rPr>
          <w:bCs/>
          <w:b/>
        </w:rPr>
        <w:t xml:space="preserve">Create the Ghana Architectural Innovation Fund:</w:t>
      </w:r>
      <w:r>
        <w:t xml:space="preserve"> </w:t>
      </w:r>
      <w:r>
        <w:t xml:space="preserve">A joint venture with Ghana Institution of Engineers to co-fund sustainable projects, targeting a 40% increase in public-sector sales by Q2 2024.</w:t>
      </w:r>
    </w:p>
    <w:p>
      <w:pPr>
        <w:numPr>
          <w:ilvl w:val="0"/>
          <w:numId w:val="1003"/>
        </w:numPr>
        <w:pStyle w:val="Compact"/>
      </w:pPr>
      <w:r>
        <w:rPr>
          <w:bCs/>
          <w:b/>
        </w:rPr>
        <w:t xml:space="preserve">Launch "Accra Resilience Certification":</w:t>
      </w:r>
      <w:r>
        <w:t xml:space="preserve"> </w:t>
      </w:r>
      <w:r>
        <w:t xml:space="preserve">A proprietary framework for climate-adaptive buildings addressing Accra's flooding risks—positioning us as the market leader in disaster-resilient architecture.</w:t>
      </w:r>
    </w:p>
    <w:bookmarkEnd w:id="29"/>
    <w:bookmarkStart w:id="30" w:name="conclusion"/>
    <w:p>
      <w:pPr>
        <w:pStyle w:val="Heading2"/>
      </w:pPr>
      <w:r>
        <w:t xml:space="preserve">Conclusion</w:t>
      </w:r>
    </w:p>
    <w:p>
      <w:pPr>
        <w:pStyle w:val="FirstParagraph"/>
      </w:pPr>
      <w:r>
        <w:t xml:space="preserve">This Sales Report unequivocally demonstrates that architectural excellence in Ghana Accra requires more than technical skill—it demands deep cultural immersion, adaptive business strategies, and unwavering commitment to local economic realities. Our firm's 22.1% sales growth validates that clients in Accra prioritize architects who understand the nuanced challenges of building within Ghana's rapidly evolving urban landscape. As the nation advances its Vision 2050 infrastructure goals, we stand ready to scale our architectural services through strategic partnerships and localized innovation. The future of architecture in Ghana is being designed here—in Accra—and this Sales Report confirms that our firm isn't just participating; we're leading the charge toward sustainable, culturally resonant urban development across the nation.</w:t>
      </w:r>
    </w:p>
    <w:p>
      <w:pPr>
        <w:pStyle w:val="BodyText"/>
      </w:pPr>
      <w:r>
        <w:rPr>
          <w:bCs/>
          <w:b/>
        </w:rPr>
        <w:t xml:space="preserve">Prepared by:</w:t>
      </w:r>
      <w:r>
        <w:t xml:space="preserve"> </w:t>
      </w:r>
      <w:r>
        <w:t xml:space="preserve">[Your Architectural Firm Name] - Leading Architectural Solutions for Ghana Accra</w:t>
      </w:r>
      <w:r>
        <w:br/>
      </w:r>
      <w:r>
        <w:rPr>
          <w:bCs/>
          <w:b/>
        </w:rPr>
        <w:t xml:space="preserve">Date:</w:t>
      </w:r>
      <w:r>
        <w:t xml:space="preserve"> </w:t>
      </w:r>
      <w:r>
        <w:t xml:space="preserve">October 26, 2023</w:t>
      </w:r>
      <w:r>
        <w:br/>
      </w:r>
      <w:r>
        <w:rPr>
          <w:bCs/>
          <w:b/>
        </w:rPr>
        <w:t xml:space="preserve">Report End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Services in Ghana Accra</dc:title>
  <dc:creator/>
  <dc:language>en</dc:language>
  <cp:keywords/>
  <dcterms:created xsi:type="dcterms:W3CDTF">2025-12-12T13:34:03Z</dcterms:created>
  <dcterms:modified xsi:type="dcterms:W3CDTF">2025-12-12T13:34:03Z</dcterms:modified>
</cp:coreProperties>
</file>

<file path=docProps/custom.xml><?xml version="1.0" encoding="utf-8"?>
<Properties xmlns="http://schemas.openxmlformats.org/officeDocument/2006/custom-properties" xmlns:vt="http://schemas.openxmlformats.org/officeDocument/2006/docPropsVTypes"/>
</file>