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Iran</w:t>
      </w:r>
      <w:r>
        <w:t xml:space="preserve"> </w:t>
      </w:r>
      <w:r>
        <w:t xml:space="preserve">Tehran</w:t>
      </w:r>
    </w:p>
    <w:bookmarkStart w:id="26" w:name="Xbd97a2817ef925525e4c7835bb172d3a42d8996"/>
    <w:p>
      <w:pPr>
        <w:pStyle w:val="Heading1"/>
      </w:pPr>
      <w:r>
        <w:t xml:space="preserve">Q3 2024 Sales Performance Report: Architectural Services in Iran Tehran</w:t>
      </w:r>
    </w:p>
    <w:p>
      <w:pPr>
        <w:pStyle w:val="FirstParagraph"/>
      </w:pPr>
      <w:r>
        <w:rPr>
          <w:bCs/>
          <w:b/>
        </w:rPr>
        <w:t xml:space="preserve">Prepared For:</w:t>
      </w:r>
      <w:r>
        <w:t xml:space="preserve"> </w:t>
      </w:r>
      <w:r>
        <w:t xml:space="preserve">Executive Leadership Team, Tehran Architecture Solutions (TAS)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details the performance of Tehran Architecture Solutions (TAS), a leading architectural firm operating within Iran Tehran. The third quarter demonstrated significant growth in both project acquisition and client satisfaction, driven by strategic market positioning and adaptation to Tehran's evolving urban development priorities. Total sales revenue reached IRR 148.7 billion (approximately USD $3.2 million), representing a 22% increase year-over-year and exceeding quarterly targets by 15%. This growth underscores the critical role of our</w:t>
      </w:r>
      <w:r>
        <w:t xml:space="preserve"> </w:t>
      </w:r>
      <w:r>
        <w:rPr>
          <w:iCs/>
          <w:i/>
        </w:rPr>
        <w:t xml:space="preserve">Architect</w:t>
      </w:r>
      <w:r>
        <w:t xml:space="preserve"> </w:t>
      </w:r>
      <w:r>
        <w:t xml:space="preserve">team in delivering value-driven, culturally sensitive designs for Iran's most dynamic city.</w:t>
      </w:r>
    </w:p>
    <w:bookmarkEnd w:id="20"/>
    <w:bookmarkStart w:id="21" w:name="X3e7eb70ff190769b9155f4586a306bddf64311c"/>
    <w:p>
      <w:pPr>
        <w:pStyle w:val="Heading2"/>
      </w:pPr>
      <w:r>
        <w:t xml:space="preserve">Market Analysis: Tehran's Architectural Landscape</w:t>
      </w:r>
    </w:p>
    <w:p>
      <w:pPr>
        <w:pStyle w:val="FirstParagraph"/>
      </w:pPr>
      <w:r>
        <w:t xml:space="preserve">Iran Tehran remains a pivotal hub for architectural innovation in the Middle East, with ambitious urban renewal projects, sustainable infrastructure development, and cultural preservation initiatives. The city’s population of over 9 million necessitates high-quality, scalable design solutions. Our Q3 analysis reveals three dominant market trends directly impacting sales:</w:t>
      </w:r>
    </w:p>
    <w:p>
      <w:pPr>
        <w:numPr>
          <w:ilvl w:val="0"/>
          <w:numId w:val="1001"/>
        </w:numPr>
        <w:pStyle w:val="Compact"/>
      </w:pPr>
      <w:r>
        <w:rPr>
          <w:bCs/>
          <w:b/>
        </w:rPr>
        <w:t xml:space="preserve">Sustainable Urban Development:</w:t>
      </w:r>
      <w:r>
        <w:t xml:space="preserve"> </w:t>
      </w:r>
      <w:r>
        <w:t xml:space="preserve">Tehran Municipality's "Green City Plan 2030" prioritizes eco-friendly architecture, driving demand for LEED-certified designs and energy-efficient systems.</w:t>
      </w:r>
    </w:p>
    <w:p>
      <w:pPr>
        <w:numPr>
          <w:ilvl w:val="0"/>
          <w:numId w:val="1001"/>
        </w:numPr>
        <w:pStyle w:val="Compact"/>
      </w:pPr>
      <w:r>
        <w:rPr>
          <w:bCs/>
          <w:b/>
        </w:rPr>
        <w:t xml:space="preserve">Cultural Heritage Integration:</w:t>
      </w:r>
      <w:r>
        <w:t xml:space="preserve"> </w:t>
      </w:r>
      <w:r>
        <w:t xml:space="preserve">Projects requiring harmonious blending of modern functionality with traditional Iranian architectural elements (e.g., windcatchers, courtyards) are increasing by 35% YoY.</w:t>
      </w:r>
    </w:p>
    <w:p>
      <w:pPr>
        <w:numPr>
          <w:ilvl w:val="0"/>
          <w:numId w:val="1001"/>
        </w:numPr>
        <w:pStyle w:val="Compact"/>
      </w:pPr>
      <w:r>
        <w:rPr>
          <w:bCs/>
          <w:b/>
        </w:rPr>
        <w:t xml:space="preserve">Residential &amp; Commercial Expansion:</w:t>
      </w:r>
      <w:r>
        <w:t xml:space="preserve"> </w:t>
      </w:r>
      <w:r>
        <w:t xml:space="preserve">High demand for mixed-use complexes in Tehran's northern districts (e.g., Tajrish, Sa'adat Abad) and new industrial zones near the city's periphery.</w:t>
      </w:r>
    </w:p>
    <w:p>
      <w:pPr>
        <w:pStyle w:val="FirstParagraph"/>
      </w:pPr>
      <w:r>
        <w:t xml:space="preserve">TAS has strategically aligned its service portfolio with these trends, resulting in a 41% uptick in proposals for sustainable projects compared to Q2. Our</w:t>
      </w:r>
      <w:r>
        <w:t xml:space="preserve"> </w:t>
      </w:r>
      <w:r>
        <w:rPr>
          <w:iCs/>
          <w:i/>
        </w:rPr>
        <w:t xml:space="preserve">Architect</w:t>
      </w:r>
      <w:r>
        <w:t xml:space="preserve"> </w:t>
      </w:r>
      <w:r>
        <w:t xml:space="preserve">team's expertise in contextual design positioned us as a preferred partner for key municipal and private sector clients.</w:t>
      </w:r>
    </w:p>
    <w:bookmarkEnd w:id="21"/>
    <w:bookmarkStart w:id="22" w:name="sales-performance-metrics"/>
    <w:p>
      <w:pPr>
        <w:pStyle w:val="Heading2"/>
      </w:pPr>
      <w:r>
        <w:t xml:space="preserve">Sales Performance Metrics</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Project Revenue (IRR)</w:t>
      </w:r>
    </w:p>
    <w:p>
      <w:pPr>
        <w:pStyle w:val="BodyText"/>
      </w:pPr>
      <w:r>
        <w:t xml:space="preserve">148.7B</w:t>
      </w:r>
    </w:p>
    <w:p>
      <w:pPr>
        <w:pStyle w:val="BodyText"/>
      </w:pPr>
      <w:r>
        <w:t xml:space="preserve">121.9B</w:t>
      </w:r>
    </w:p>
    <w:p>
      <w:pPr>
        <w:pStyle w:val="BodyText"/>
      </w:pPr>
      <w:r>
        <w:t xml:space="preserve">+22.0%</w:t>
      </w:r>
    </w:p>
    <w:p>
      <w:pPr>
        <w:pStyle w:val="BodyText"/>
      </w:pPr>
      <w:r>
        <w:t xml:space="preserve">New Client Acquisitions</w:t>
      </w:r>
    </w:p>
    <w:p>
      <w:pPr>
        <w:pStyle w:val="BodyText"/>
      </w:pPr>
      <w:r>
        <w:t xml:space="preserve">38</w:t>
      </w:r>
    </w:p>
    <w:p>
      <w:pPr>
        <w:pStyle w:val="BodyText"/>
      </w:pPr>
      <w:r>
        <w:t xml:space="preserve">25</w:t>
      </w:r>
    </w:p>
    <w:p>
      <w:pPr>
        <w:pStyle w:val="BodyText"/>
      </w:pPr>
      <w:r>
        <w:t xml:space="preserve">+52.0%</w:t>
      </w:r>
    </w:p>
    <w:p>
      <w:pPr>
        <w:pStyle w:val="BodyText"/>
      </w:pPr>
      <w:r>
        <w:t xml:space="preserve">Largest Project Value (IRR)</w:t>
      </w:r>
    </w:p>
    <w:p>
      <w:pPr>
        <w:pStyle w:val="BodyText"/>
      </w:pPr>
      <w:r>
        <w:t xml:space="preserve">Tehran Green District Masterplan (19.4B)</w:t>
      </w:r>
    </w:p>
    <w:p>
      <w:pPr>
        <w:pStyle w:val="BodyText"/>
      </w:pPr>
      <w:r>
        <w:t xml:space="preserve">Client Retention Rate</w:t>
      </w:r>
    </w:p>
    <w:p>
      <w:pPr>
        <w:pStyle w:val="BodyText"/>
      </w:pPr>
      <w:r>
        <w:t xml:space="preserve">87%</w:t>
      </w:r>
    </w:p>
    <w:p>
      <w:pPr>
        <w:pStyle w:val="BodyText"/>
      </w:pPr>
      <w:r>
        <w:t xml:space="preserve">82%</w:t>
      </w:r>
    </w:p>
    <w:p>
      <w:pPr>
        <w:pStyle w:val="BodyText"/>
      </w:pPr>
      <w:r>
        <w:t xml:space="preserve">+5.0% Points</w:t>
      </w:r>
    </w:p>
    <w:p>
      <w:pPr>
        <w:pStyle w:val="BodyText"/>
      </w:pPr>
      <w:r>
        <w:t xml:space="preserve">Sales Cycle Length (Days)</w:t>
      </w:r>
    </w:p>
    <w:p>
      <w:pPr>
        <w:pStyle w:val="BodyText"/>
      </w:pPr>
      <w:r>
        <w:t xml:space="preserve">62</w:t>
      </w:r>
    </w:p>
    <w:p>
      <w:pPr>
        <w:pStyle w:val="BodyText"/>
      </w:pPr>
      <w:r>
        <w:t xml:space="preserve">74</w:t>
      </w:r>
    </w:p>
    <w:p>
      <w:pPr>
        <w:pStyle w:val="BodyText"/>
      </w:pPr>
      <w:r>
        <w:t xml:space="preserve">-16.2% (Faster Conversion)</w:t>
      </w:r>
    </w:p>
    <w:p>
      <w:pPr>
        <w:pStyle w:val="BodyText"/>
      </w:pPr>
      <w:r>
        <w:t xml:space="preserve">The largest deal in Q3, the Tehran Green District Masterplan for 19.4 billion IRR, exemplifies our success in securing high-value contracts with government entities. This project—designing a sustainable residential and commercial complex adjacent to the historic Azadi Tower—required specialized knowledge of Tehran’s seismic regulations and urban fabric, showcasing our</w:t>
      </w:r>
      <w:r>
        <w:t xml:space="preserve"> </w:t>
      </w:r>
      <w:r>
        <w:rPr>
          <w:iCs/>
          <w:i/>
        </w:rPr>
        <w:t xml:space="preserve">Architect</w:t>
      </w:r>
      <w:r>
        <w:t xml:space="preserve"> </w:t>
      </w:r>
      <w:r>
        <w:t xml:space="preserve">team’s technical mastery.</w:t>
      </w:r>
    </w:p>
    <w:bookmarkEnd w:id="22"/>
    <w:bookmarkStart w:id="23" w:name="key-challenges-in-iran-tehran-market"/>
    <w:p>
      <w:pPr>
        <w:pStyle w:val="Heading2"/>
      </w:pPr>
      <w:r>
        <w:t xml:space="preserve">Key Challenges in Iran Tehran Market</w:t>
      </w:r>
    </w:p>
    <w:p>
      <w:pPr>
        <w:pStyle w:val="FirstParagraph"/>
      </w:pPr>
      <w:r>
        <w:t xml:space="preserve">Operating within Iran Tehran presents unique operational challenges that impact sales execution:</w:t>
      </w:r>
    </w:p>
    <w:p>
      <w:pPr>
        <w:numPr>
          <w:ilvl w:val="0"/>
          <w:numId w:val="1002"/>
        </w:numPr>
        <w:pStyle w:val="Compact"/>
      </w:pPr>
      <w:r>
        <w:rPr>
          <w:bCs/>
          <w:b/>
        </w:rPr>
        <w:t xml:space="preserve">Currency Volatility:</w:t>
      </w:r>
      <w:r>
        <w:t xml:space="preserve"> </w:t>
      </w:r>
      <w:r>
        <w:t xml:space="preserve">Fluctuations in IRR/USD exchange rates complicate pricing for international material procurement, requiring dynamic contract structures.</w:t>
      </w:r>
    </w:p>
    <w:p>
      <w:pPr>
        <w:numPr>
          <w:ilvl w:val="0"/>
          <w:numId w:val="1002"/>
        </w:numPr>
        <w:pStyle w:val="Compact"/>
      </w:pPr>
      <w:r>
        <w:rPr>
          <w:bCs/>
          <w:b/>
        </w:rPr>
        <w:t xml:space="preserve">Bureaucratic Processes:</w:t>
      </w:r>
      <w:r>
        <w:t xml:space="preserve"> </w:t>
      </w:r>
      <w:r>
        <w:t xml:space="preserve">Permitting timelines for construction projects in Tehran remain lengthy (average 4–6 months), delaying revenue recognition despite signed contracts.</w:t>
      </w:r>
    </w:p>
    <w:p>
      <w:pPr>
        <w:numPr>
          <w:ilvl w:val="0"/>
          <w:numId w:val="1002"/>
        </w:numPr>
        <w:pStyle w:val="Compact"/>
      </w:pPr>
      <w:r>
        <w:rPr>
          <w:bCs/>
          <w:b/>
        </w:rPr>
        <w:t xml:space="preserve">Talent Retention:</w:t>
      </w:r>
      <w:r>
        <w:t xml:space="preserve"> </w:t>
      </w:r>
      <w:r>
        <w:t xml:space="preserve">Competition for skilled local architects is intense, particularly in specialized areas like heritage conservation and BIM technology.</w:t>
      </w:r>
    </w:p>
    <w:p>
      <w:pPr>
        <w:pStyle w:val="FirstParagraph"/>
      </w:pPr>
      <w:r>
        <w:t xml:space="preserve">To mitigate these, TAS implemented a localized pricing index tied to the Central Bank’s IRR basket rate and established partnerships with Tehran University of Art for talent pipelines. These initiatives contributed to our 87% client retention rate—the highest in our company history.</w:t>
      </w:r>
    </w:p>
    <w:bookmarkEnd w:id="23"/>
    <w:bookmarkStart w:id="24" w:name="strategic-recommendations-for-q4-2024"/>
    <w:p>
      <w:pPr>
        <w:pStyle w:val="Heading2"/>
      </w:pPr>
      <w:r>
        <w:t xml:space="preserve">Strategic Recommendations for Q4 2024</w:t>
      </w:r>
    </w:p>
    <w:p>
      <w:pPr>
        <w:pStyle w:val="FirstParagraph"/>
      </w:pPr>
      <w:r>
        <w:t xml:space="preserve">Based on this Sales Report, we propose the following actions to capitalize on Tehran’s architectural momentum:</w:t>
      </w:r>
    </w:p>
    <w:p>
      <w:pPr>
        <w:numPr>
          <w:ilvl w:val="0"/>
          <w:numId w:val="1003"/>
        </w:numPr>
        <w:pStyle w:val="Compact"/>
      </w:pPr>
      <w:r>
        <w:rPr>
          <w:bCs/>
          <w:b/>
        </w:rPr>
        <w:t xml:space="preserve">Expand Sustainable Design Division:</w:t>
      </w:r>
      <w:r>
        <w:t xml:space="preserve"> </w:t>
      </w:r>
      <w:r>
        <w:t xml:space="preserve">Dedicate 30% of Q4 R&amp;D budget to develop modular sustainable housing solutions tailored for Tehran's climate and cultural norms. This addresses the 41% market growth in green projects.</w:t>
      </w:r>
    </w:p>
    <w:p>
      <w:pPr>
        <w:numPr>
          <w:ilvl w:val="0"/>
          <w:numId w:val="1003"/>
        </w:numPr>
        <w:pStyle w:val="Compact"/>
      </w:pPr>
      <w:r>
        <w:rPr>
          <w:bCs/>
          <w:b/>
        </w:rPr>
        <w:t xml:space="preserve">Strengthen Government Partnerships:</w:t>
      </w:r>
      <w:r>
        <w:t xml:space="preserve"> </w:t>
      </w:r>
      <w:r>
        <w:t xml:space="preserve">Target Tehran Municipality’s upcoming "Cultural Corridors" initiative (funding: IRR 50B) with a tailored proposal for heritage-sensitive commercial plazas.</w:t>
      </w:r>
    </w:p>
    <w:p>
      <w:pPr>
        <w:numPr>
          <w:ilvl w:val="0"/>
          <w:numId w:val="1003"/>
        </w:numPr>
        <w:pStyle w:val="Compact"/>
      </w:pPr>
      <w:r>
        <w:rPr>
          <w:bCs/>
          <w:b/>
        </w:rPr>
        <w:t xml:space="preserve">Leverage Digital Sales Tools:</w:t>
      </w:r>
      <w:r>
        <w:t xml:space="preserve"> </w:t>
      </w:r>
      <w:r>
        <w:t xml:space="preserve">Implement a localized BIM collaboration platform to streamline client consultations across Tehran’s geographical sprawl, reducing sales cycle length further.</w:t>
      </w:r>
    </w:p>
    <w:bookmarkEnd w:id="24"/>
    <w:bookmarkStart w:id="25" w:name="conclusion"/>
    <w:p>
      <w:pPr>
        <w:pStyle w:val="Heading2"/>
      </w:pPr>
      <w:r>
        <w:t xml:space="preserve">Conclusion</w:t>
      </w:r>
    </w:p>
    <w:p>
      <w:pPr>
        <w:pStyle w:val="FirstParagraph"/>
      </w:pPr>
      <w:r>
        <w:t xml:space="preserve">This Q3 2024 Sales Report confirms that Tehran Architecture Solutions is not merely meeting market demand but actively shaping Iran Tehran’s built environment. Our growth trajectory—powered by a highly skilled team of</w:t>
      </w:r>
      <w:r>
        <w:t xml:space="preserve"> </w:t>
      </w:r>
      <w:r>
        <w:rPr>
          <w:iCs/>
          <w:i/>
        </w:rPr>
        <w:t xml:space="preserve">Architect</w:t>
      </w:r>
      <w:r>
        <w:t xml:space="preserve">s who understand both global best practices and the nuances of Iranian urban life—is a testament to our strategic vision. The 22% revenue increase and 52% rise in new clients underscore the value we deliver as trusted advisors in Iran's most competitive architectural market.</w:t>
      </w:r>
    </w:p>
    <w:p>
      <w:pPr>
        <w:pStyle w:val="BodyText"/>
      </w:pPr>
      <w:r>
        <w:t xml:space="preserve">As Tehran continues its transformation into a model for sustainable, culturally rooted urban development across the Middle East, TAS remains positioned to be at the forefront. The firm’s commitment to excellence—from initial concept to project completion—ensures that every design we deliver honors both our clients' aspirations and Iran's rich architectural heritage.</w:t>
      </w:r>
    </w:p>
    <w:p>
      <w:pPr>
        <w:pStyle w:val="BodyText"/>
      </w:pPr>
      <w:r>
        <w:rPr>
          <w:bCs/>
          <w:b/>
        </w:rPr>
        <w:t xml:space="preserve">Prepared by:</w:t>
      </w:r>
      <w:r>
        <w:t xml:space="preserve"> </w:t>
      </w:r>
      <w:r>
        <w:t xml:space="preserve">Farshid Nouri, Director of Sales &amp; Business Development</w:t>
      </w:r>
      <w:r>
        <w:br/>
      </w:r>
      <w:r>
        <w:rPr>
          <w:bCs/>
          <w:b/>
        </w:rPr>
        <w:t xml:space="preserve">Tehran Architecture Solutions (TAS)</w:t>
      </w:r>
      <w:r>
        <w:br/>
      </w:r>
      <w:r>
        <w:t xml:space="preserve">Tehran, Iran | www.tas-iran.com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Architectural Services in Iran Tehran</dc:title>
  <dc:creator/>
  <cp:keywords/>
  <dcterms:created xsi:type="dcterms:W3CDTF">2026-05-01T22:22:56Z</dcterms:created>
  <dcterms:modified xsi:type="dcterms:W3CDTF">2026-05-01T22:22:56Z</dcterms:modified>
</cp:coreProperties>
</file>

<file path=docProps/custom.xml><?xml version="1.0" encoding="utf-8"?>
<Properties xmlns="http://schemas.openxmlformats.org/officeDocument/2006/custom-properties" xmlns:vt="http://schemas.openxmlformats.org/officeDocument/2006/docPropsVTypes"/>
</file>