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for</w:t>
      </w:r>
      <w:r>
        <w:t xml:space="preserve"> </w:t>
      </w:r>
      <w:r>
        <w:t xml:space="preserve">Iraq</w:t>
      </w:r>
      <w:r>
        <w:t xml:space="preserve"> </w:t>
      </w:r>
      <w:r>
        <w:t xml:space="preserve">Baghdad</w:t>
      </w:r>
      <w:r>
        <w:t xml:space="preserve"> </w:t>
      </w:r>
      <w:r>
        <w:t xml:space="preserve">Market</w:t>
      </w:r>
    </w:p>
    <w:bookmarkStart w:id="27" w:name="X8732057de7816a98f6d71c32e4afdde583e4d62"/>
    <w:p>
      <w:pPr>
        <w:pStyle w:val="Heading1"/>
      </w:pPr>
      <w:r>
        <w:t xml:space="preserve">Comprehensive Sales Report: Architectural Excellence Driving Growth in Iraq Baghdad</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Nishtar Architects International Sales Division</w:t>
      </w:r>
    </w:p>
    <w:bookmarkStart w:id="20" w:name="X4379f8ff8fccc27b74ea1fdc02a70c321081929"/>
    <w:p>
      <w:pPr>
        <w:pStyle w:val="Heading2"/>
      </w:pPr>
      <w:r>
        <w:t xml:space="preserve">I. Executive Summary: Architectural Momentum in Baghdad's Resurgent Market</w:t>
      </w:r>
    </w:p>
    <w:p>
      <w:pPr>
        <w:pStyle w:val="FirstParagraph"/>
      </w:pPr>
      <w:r>
        <w:t xml:space="preserve">This report details the performance and strategic outlook of our Architect services within the rapidly evolving construction and urban development sector of Iraq Baghdad. As the capital city undergoes significant post-conflict reconstruction and modernization, demand for skilled</w:t>
      </w:r>
      <w:r>
        <w:t xml:space="preserve"> </w:t>
      </w:r>
      <w:r>
        <w:rPr>
          <w:bCs/>
          <w:b/>
        </w:rPr>
        <w:t xml:space="preserve">Architect</w:t>
      </w:r>
      <w:r>
        <w:t xml:space="preserve"> </w:t>
      </w:r>
      <w:r>
        <w:t xml:space="preserve">expertise has surged, presenting a compelling opportunity for specialized firms. Our Sales Report confirms a 15% year-over-year growth in signed architectural contracts specifically targeting projects across Baghdad’s key districts, including Al-Rashid Street Corridor, New Baghdad Residential Zones, and the expanding Tahrir Square Commercial Hub. This momentum underscores</w:t>
      </w:r>
      <w:r>
        <w:t xml:space="preserve"> </w:t>
      </w:r>
      <w:r>
        <w:rPr>
          <w:bCs/>
          <w:b/>
        </w:rPr>
        <w:t xml:space="preserve">Architect</w:t>
      </w:r>
      <w:r>
        <w:t xml:space="preserve">-led solutions as the cornerstone of sustainable urban development in</w:t>
      </w:r>
      <w:r>
        <w:t xml:space="preserve"> </w:t>
      </w:r>
      <w:r>
        <w:rPr>
          <w:bCs/>
          <w:b/>
        </w:rPr>
        <w:t xml:space="preserve">Iraq Baghdad</w:t>
      </w:r>
      <w:r>
        <w:t xml:space="preserve">.</w:t>
      </w:r>
    </w:p>
    <w:bookmarkEnd w:id="20"/>
    <w:bookmarkStart w:id="21" w:name="Xf8ab7229b51a85d0f04602cfe82c54936184c72"/>
    <w:p>
      <w:pPr>
        <w:pStyle w:val="Heading2"/>
      </w:pPr>
      <w:r>
        <w:t xml:space="preserve">II. Market Analysis: The Critical Role of the Architect in Baghdad's Transformation</w:t>
      </w:r>
    </w:p>
    <w:p>
      <w:pPr>
        <w:pStyle w:val="FirstParagraph"/>
      </w:pPr>
      <w:r>
        <w:t xml:space="preserve">Baghdad’s unique urban landscape, characterized by a blend of historical significance, post-conflict infrastructure deficits, and ambitious government-led development plans (e.g., National Urban Development Strategy 2030), creates an unparalleled demand for forward-thinking architectural services. Our analysis reveals three key drivers:</w:t>
      </w:r>
    </w:p>
    <w:p>
      <w:pPr>
        <w:numPr>
          <w:ilvl w:val="0"/>
          <w:numId w:val="1001"/>
        </w:numPr>
        <w:pStyle w:val="Compact"/>
      </w:pPr>
      <w:r>
        <w:rPr>
          <w:bCs/>
          <w:b/>
        </w:rPr>
        <w:t xml:space="preserve">Government Investment:</w:t>
      </w:r>
      <w:r>
        <w:t xml:space="preserve"> </w:t>
      </w:r>
      <w:r>
        <w:t xml:space="preserve">Major state projects like the Baghdad City Center redevelopment and new Ministry of Finance headquarters require comprehensive</w:t>
      </w:r>
      <w:r>
        <w:t xml:space="preserve"> </w:t>
      </w:r>
      <w:r>
        <w:rPr>
          <w:bCs/>
          <w:b/>
        </w:rPr>
        <w:t xml:space="preserve">Architect</w:t>
      </w:r>
      <w:r>
        <w:t xml:space="preserve">-managed planning to meet international standards while respecting local cultural context.</w:t>
      </w:r>
    </w:p>
    <w:p>
      <w:pPr>
        <w:numPr>
          <w:ilvl w:val="0"/>
          <w:numId w:val="1001"/>
        </w:numPr>
        <w:pStyle w:val="Compact"/>
      </w:pPr>
      <w:r>
        <w:rPr>
          <w:bCs/>
          <w:b/>
        </w:rPr>
        <w:t xml:space="preserve">Private Sector Expansion:</w:t>
      </w:r>
      <w:r>
        <w:t xml:space="preserve"> </w:t>
      </w:r>
      <w:r>
        <w:t xml:space="preserve">Growing foreign investment in commercial real estate (e.g., luxury residential towers on Al-Rashid Street) necessitates high-end architectural design for competitiveness in the</w:t>
      </w:r>
      <w:r>
        <w:t xml:space="preserve"> </w:t>
      </w:r>
      <w:r>
        <w:rPr>
          <w:bCs/>
          <w:b/>
        </w:rPr>
        <w:t xml:space="preserve">Iraq Baghdad</w:t>
      </w:r>
      <w:r>
        <w:t xml:space="preserve"> </w:t>
      </w:r>
      <w:r>
        <w:t xml:space="preserve">market.</w:t>
      </w:r>
    </w:p>
    <w:p>
      <w:pPr>
        <w:numPr>
          <w:ilvl w:val="0"/>
          <w:numId w:val="1001"/>
        </w:numPr>
        <w:pStyle w:val="Compact"/>
      </w:pPr>
      <w:r>
        <w:rPr>
          <w:bCs/>
          <w:b/>
        </w:rPr>
        <w:t xml:space="preserve">Resilience Imperative:</w:t>
      </w:r>
      <w:r>
        <w:t xml:space="preserve"> </w:t>
      </w:r>
      <w:r>
        <w:t xml:space="preserve">Baghdad’s environmental challenges (dust storms, temperature extremes, power intermittency) demand architects who prioritize sustainable, resilient building solutions – a core competency we deliver.</w:t>
      </w:r>
    </w:p>
    <w:p>
      <w:pPr>
        <w:pStyle w:val="FirstParagraph"/>
      </w:pPr>
      <w:r>
        <w:t xml:space="preserve">This market dynamic positions the professional</w:t>
      </w:r>
      <w:r>
        <w:t xml:space="preserve"> </w:t>
      </w:r>
      <w:r>
        <w:rPr>
          <w:bCs/>
          <w:b/>
        </w:rPr>
        <w:t xml:space="preserve">Architect</w:t>
      </w:r>
      <w:r>
        <w:t xml:space="preserve"> </w:t>
      </w:r>
      <w:r>
        <w:t xml:space="preserve">not merely as a designer, but as an essential strategic partner for successful development in</w:t>
      </w:r>
      <w:r>
        <w:t xml:space="preserve"> </w:t>
      </w:r>
      <w:r>
        <w:rPr>
          <w:bCs/>
          <w:b/>
        </w:rPr>
        <w:t xml:space="preserve">Iraq Baghdad</w:t>
      </w:r>
      <w:r>
        <w:t xml:space="preserve">.</w:t>
      </w:r>
    </w:p>
    <w:bookmarkEnd w:id="21"/>
    <w:bookmarkStart w:id="22" w:name="Xa2f5b5556ad348260de4e90930c503ff18769c8"/>
    <w:p>
      <w:pPr>
        <w:pStyle w:val="Heading2"/>
      </w:pPr>
      <w:r>
        <w:t xml:space="preserve">III. Sales Performance: Quantifiable Successes in Baghdad's Construction Ecosystem</w:t>
      </w:r>
    </w:p>
    <w:p>
      <w:pPr>
        <w:pStyle w:val="FirstParagraph"/>
      </w:pPr>
      <w:r>
        <w:t xml:space="preserve">This fiscal year (FY 2023) marks a significant milestone for our firm’s presence in the</w:t>
      </w:r>
      <w:r>
        <w:t xml:space="preserve"> </w:t>
      </w:r>
      <w:r>
        <w:rPr>
          <w:bCs/>
          <w:b/>
        </w:rPr>
        <w:t xml:space="preserve">Iraq Baghdad</w:t>
      </w:r>
      <w:r>
        <w:t xml:space="preserve"> </w:t>
      </w:r>
      <w:r>
        <w:t xml:space="preserve">architectural services sector:</w:t>
      </w:r>
    </w:p>
    <w:p>
      <w:pPr>
        <w:numPr>
          <w:ilvl w:val="0"/>
          <w:numId w:val="1002"/>
        </w:numPr>
        <w:pStyle w:val="Compact"/>
      </w:pPr>
      <w:r>
        <w:rPr>
          <w:bCs/>
          <w:b/>
        </w:rPr>
        <w:t xml:space="preserve">Contract Value Growth:</w:t>
      </w:r>
      <w:r>
        <w:t xml:space="preserve"> </w:t>
      </w:r>
      <w:r>
        <w:t xml:space="preserve">Total signed agreements for full architectural design services reached $14.7M, representing a 22% increase from FY 2022. This includes the landmark "Al-Mustansiriya Cultural District" project (value: $5.8M) and three major mixed-use developments in Al-Zawraa.</w:t>
      </w:r>
    </w:p>
    <w:p>
      <w:pPr>
        <w:numPr>
          <w:ilvl w:val="0"/>
          <w:numId w:val="1002"/>
        </w:numPr>
        <w:pStyle w:val="Compact"/>
      </w:pPr>
      <w:r>
        <w:rPr>
          <w:bCs/>
          <w:b/>
        </w:rPr>
        <w:t xml:space="preserve">Client Acquisition:</w:t>
      </w:r>
      <w:r>
        <w:t xml:space="preserve"> </w:t>
      </w:r>
      <w:r>
        <w:t xml:space="preserve">Secured 7 new key government entities and 12 prominent private developers as direct clients within Baghdad, including the Ministry of Housing &amp; Public Works and leading Iraqi construction conglomerates (e.g., Al-Salam Group).</w:t>
      </w:r>
    </w:p>
    <w:p>
      <w:pPr>
        <w:numPr>
          <w:ilvl w:val="0"/>
          <w:numId w:val="1002"/>
        </w:numPr>
        <w:pStyle w:val="Compact"/>
      </w:pPr>
      <w:r>
        <w:rPr>
          <w:bCs/>
          <w:b/>
        </w:rPr>
        <w:t xml:space="preserve">Project Pipeline:</w:t>
      </w:r>
      <w:r>
        <w:t xml:space="preserve"> </w:t>
      </w:r>
      <w:r>
        <w:t xml:space="preserve">Current active pipeline for</w:t>
      </w:r>
      <w:r>
        <w:t xml:space="preserve"> </w:t>
      </w:r>
      <w:r>
        <w:rPr>
          <w:bCs/>
          <w:b/>
        </w:rPr>
        <w:t xml:space="preserve">Iraq Baghdad</w:t>
      </w:r>
      <w:r>
        <w:t xml:space="preserve">-focused projects totals $38.2M, with 85% attributed to architectural design mandates. Key upcoming projects include the Baghdad International Financial District Phase 1 and the Al-Kadhimiya Heritage Conservation Center.</w:t>
      </w:r>
    </w:p>
    <w:p>
      <w:pPr>
        <w:numPr>
          <w:ilvl w:val="0"/>
          <w:numId w:val="1002"/>
        </w:numPr>
        <w:pStyle w:val="Compact"/>
      </w:pPr>
      <w:r>
        <w:rPr>
          <w:bCs/>
          <w:b/>
        </w:rPr>
        <w:t xml:space="preserve">Market Penetration:</w:t>
      </w:r>
      <w:r>
        <w:t xml:space="preserve"> </w:t>
      </w:r>
      <w:r>
        <w:t xml:space="preserve">Achieved a 27% market share in the high-end architectural services segment for government-commissioned urban projects within Baghdad – up from 18% last year.</w:t>
      </w:r>
    </w:p>
    <w:bookmarkEnd w:id="22"/>
    <w:bookmarkStart w:id="23" w:name="X0f72d5db39ae3d81504a2a56e4b6ec405bd39ef"/>
    <w:p>
      <w:pPr>
        <w:pStyle w:val="Heading2"/>
      </w:pPr>
      <w:r>
        <w:t xml:space="preserve">IV. Strategic Initiatives: Tailoring Architectural Expertise for Baghdad's Unique Context</w:t>
      </w:r>
    </w:p>
    <w:p>
      <w:pPr>
        <w:pStyle w:val="FirstParagraph"/>
      </w:pPr>
      <w:r>
        <w:t xml:space="preserve">To capitalize on this growth, our Sales Team and Architectural Division have implemented targeted strategies specifically for the</w:t>
      </w:r>
      <w:r>
        <w:t xml:space="preserve"> </w:t>
      </w:r>
      <w:r>
        <w:rPr>
          <w:bCs/>
          <w:b/>
        </w:rPr>
        <w:t xml:space="preserve">Iraq Baghdad</w:t>
      </w:r>
      <w:r>
        <w:t xml:space="preserve"> </w:t>
      </w:r>
      <w:r>
        <w:t xml:space="preserve">environment:</w:t>
      </w:r>
    </w:p>
    <w:p>
      <w:pPr>
        <w:numPr>
          <w:ilvl w:val="0"/>
          <w:numId w:val="1003"/>
        </w:numPr>
        <w:pStyle w:val="Compact"/>
      </w:pPr>
      <w:r>
        <w:rPr>
          <w:bCs/>
          <w:b/>
        </w:rPr>
        <w:t xml:space="preserve">Cultural &amp; Technical Adaptation:</w:t>
      </w:r>
      <w:r>
        <w:t xml:space="preserve"> </w:t>
      </w:r>
      <w:r>
        <w:t xml:space="preserve">Our lead architects underwent intensive local context training, ensuring designs integrate traditional Iraqi aesthetics (e.g., geometric patterns, courtyards) with modern functionality – a critical differentiator in securing Baghdad contracts.</w:t>
      </w:r>
    </w:p>
    <w:p>
      <w:pPr>
        <w:numPr>
          <w:ilvl w:val="0"/>
          <w:numId w:val="1003"/>
        </w:numPr>
        <w:pStyle w:val="Compact"/>
      </w:pPr>
      <w:r>
        <w:rPr>
          <w:bCs/>
          <w:b/>
        </w:rPr>
        <w:t xml:space="preserve">Bureaucracy Navigation Partnerships:</w:t>
      </w:r>
      <w:r>
        <w:t xml:space="preserve"> </w:t>
      </w:r>
      <w:r>
        <w:t xml:space="preserve">Established direct liaison protocols with Baghdad City Council and Ministry of Construction to streamline approval processes, directly addressing a major client pain point previously hindering sales cycles.</w:t>
      </w:r>
    </w:p>
    <w:p>
      <w:pPr>
        <w:numPr>
          <w:ilvl w:val="0"/>
          <w:numId w:val="1003"/>
        </w:numPr>
        <w:pStyle w:val="Compact"/>
      </w:pPr>
      <w:r>
        <w:rPr>
          <w:bCs/>
          <w:b/>
        </w:rPr>
        <w:t xml:space="preserve">Talent Localization:</w:t>
      </w:r>
      <w:r>
        <w:t xml:space="preserve"> </w:t>
      </w:r>
      <w:r>
        <w:t xml:space="preserve">Hired 5 senior Iraqi architects with deep Baghdad project experience, enhancing our credibility and enabling faster response times – significantly improving client trust in the</w:t>
      </w:r>
      <w:r>
        <w:t xml:space="preserve"> </w:t>
      </w:r>
      <w:r>
        <w:rPr>
          <w:bCs/>
          <w:b/>
        </w:rPr>
        <w:t xml:space="preserve">Iraq Baghdad</w:t>
      </w:r>
      <w:r>
        <w:t xml:space="preserve"> </w:t>
      </w:r>
      <w:r>
        <w:t xml:space="preserve">market.</w:t>
      </w:r>
    </w:p>
    <w:bookmarkEnd w:id="23"/>
    <w:bookmarkStart w:id="24" w:name="Xa0cb05b1ef6bd141d588a0db2ece7877f4ca422"/>
    <w:p>
      <w:pPr>
        <w:pStyle w:val="Heading2"/>
      </w:pPr>
      <w:r>
        <w:t xml:space="preserve">V. Challenges &amp; Strategic Response: Navigating Baghdad's Complexities</w:t>
      </w:r>
    </w:p>
    <w:p>
      <w:pPr>
        <w:pStyle w:val="FirstParagraph"/>
      </w:pPr>
      <w:r>
        <w:t xml:space="preserve">While opportunity is immense, challenges remain inherent to operating within</w:t>
      </w:r>
      <w:r>
        <w:t xml:space="preserve"> </w:t>
      </w:r>
      <w:r>
        <w:rPr>
          <w:bCs/>
          <w:b/>
        </w:rPr>
        <w:t xml:space="preserve">Iraq Baghdad</w:t>
      </w:r>
      <w:r>
        <w:t xml:space="preserve">:</w:t>
      </w:r>
    </w:p>
    <w:p>
      <w:pPr>
        <w:numPr>
          <w:ilvl w:val="0"/>
          <w:numId w:val="1004"/>
        </w:numPr>
        <w:pStyle w:val="Compact"/>
      </w:pPr>
      <w:r>
        <w:rPr>
          <w:iCs/>
          <w:i/>
        </w:rPr>
        <w:t xml:space="preserve">Challenge:</w:t>
      </w:r>
      <w:r>
        <w:t xml:space="preserve"> </w:t>
      </w:r>
      <w:r>
        <w:t xml:space="preserve">Bureaucratic delays in project approvals.</w:t>
      </w:r>
      <w:r>
        <w:t xml:space="preserve"> </w:t>
      </w:r>
      <w:r>
        <w:rPr>
          <w:iCs/>
          <w:i/>
        </w:rPr>
        <w:t xml:space="preserve">Solution:</w:t>
      </w:r>
      <w:r>
        <w:t xml:space="preserve"> </w:t>
      </w:r>
      <w:r>
        <w:t xml:space="preserve">Dedicated Baghdad-based government relations specialist integrated into our sales process; reduced approval timelines by 30%.</w:t>
      </w:r>
    </w:p>
    <w:p>
      <w:pPr>
        <w:numPr>
          <w:ilvl w:val="0"/>
          <w:numId w:val="1004"/>
        </w:numPr>
        <w:pStyle w:val="Compact"/>
      </w:pPr>
      <w:r>
        <w:rPr>
          <w:iCs/>
          <w:i/>
        </w:rPr>
        <w:t xml:space="preserve">Challenge:</w:t>
      </w:r>
      <w:r>
        <w:t xml:space="preserve"> </w:t>
      </w:r>
      <w:r>
        <w:t xml:space="preserve">Fluctuating local currency impact on cost planning.</w:t>
      </w:r>
      <w:r>
        <w:t xml:space="preserve"> </w:t>
      </w:r>
      <w:r>
        <w:rPr>
          <w:iCs/>
          <w:i/>
        </w:rPr>
        <w:t xml:space="preserve">Solution:</w:t>
      </w:r>
      <w:r>
        <w:t xml:space="preserve"> </w:t>
      </w:r>
      <w:r>
        <w:t xml:space="preserve">Implemented flexible pricing models with USD-based fixed-fee structures for major contracts, now standard in our Baghdad proposals.</w:t>
      </w:r>
    </w:p>
    <w:p>
      <w:pPr>
        <w:numPr>
          <w:ilvl w:val="0"/>
          <w:numId w:val="1004"/>
        </w:numPr>
        <w:pStyle w:val="Compact"/>
      </w:pPr>
      <w:r>
        <w:rPr>
          <w:iCs/>
          <w:i/>
        </w:rPr>
        <w:t xml:space="preserve">Challenge:</w:t>
      </w:r>
      <w:r>
        <w:t xml:space="preserve"> </w:t>
      </w:r>
      <w:r>
        <w:t xml:space="preserve">Security concerns for site visits.</w:t>
      </w:r>
      <w:r>
        <w:t xml:space="preserve"> </w:t>
      </w:r>
      <w:r>
        <w:rPr>
          <w:iCs/>
          <w:i/>
        </w:rPr>
        <w:t xml:space="preserve">Solution:</w:t>
      </w:r>
      <w:r>
        <w:t xml:space="preserve"> </w:t>
      </w:r>
      <w:r>
        <w:t xml:space="preserve">Pioneered virtual reality design walkthroughs using localized 3D models; reduced physical site visits by 65% while improving client engagement.</w:t>
      </w:r>
    </w:p>
    <w:p>
      <w:pPr>
        <w:pStyle w:val="FirstParagraph"/>
      </w:pPr>
      <w:r>
        <w:t xml:space="preserve">This proactive approach transforms challenges into competitive advantages, reinforcing our value proposition as the trusted</w:t>
      </w:r>
      <w:r>
        <w:t xml:space="preserve"> </w:t>
      </w:r>
      <w:r>
        <w:rPr>
          <w:bCs/>
          <w:b/>
        </w:rPr>
        <w:t xml:space="preserve">Architect</w:t>
      </w:r>
      <w:r>
        <w:t xml:space="preserve"> </w:t>
      </w:r>
      <w:r>
        <w:t xml:space="preserve">partner for Baghdad's future.</w:t>
      </w:r>
    </w:p>
    <w:bookmarkEnd w:id="24"/>
    <w:bookmarkStart w:id="25" w:name="X49a99fd5cbb890a8837d6d7665b468a6a22d70c"/>
    <w:p>
      <w:pPr>
        <w:pStyle w:val="Heading2"/>
      </w:pPr>
      <w:r>
        <w:t xml:space="preserve">VI. Future Outlook &amp; Strategic Recommendations for Continued Sales Growth in Baghdad</w:t>
      </w:r>
    </w:p>
    <w:p>
      <w:pPr>
        <w:pStyle w:val="FirstParagraph"/>
      </w:pPr>
      <w:r>
        <w:t xml:space="preserve">The trajectory for architectural services in</w:t>
      </w:r>
      <w:r>
        <w:t xml:space="preserve"> </w:t>
      </w:r>
      <w:r>
        <w:rPr>
          <w:bCs/>
          <w:b/>
        </w:rPr>
        <w:t xml:space="preserve">Iraq Baghdad</w:t>
      </w:r>
      <w:r>
        <w:t xml:space="preserve"> </w:t>
      </w:r>
      <w:r>
        <w:t xml:space="preserve">is exceptionally strong. We project a 25% CAGR (Compound Annual Growth Rate) in our architectural service contracts over the next three years, driven by:</w:t>
      </w:r>
    </w:p>
    <w:p>
      <w:pPr>
        <w:numPr>
          <w:ilvl w:val="0"/>
          <w:numId w:val="1005"/>
        </w:numPr>
        <w:pStyle w:val="Compact"/>
      </w:pPr>
      <w:r>
        <w:t xml:space="preserve">Accelerating urbanization rates (Baghdad's population growth at 3.1% annually).</w:t>
      </w:r>
    </w:p>
    <w:p>
      <w:pPr>
        <w:numPr>
          <w:ilvl w:val="0"/>
          <w:numId w:val="1005"/>
        </w:numPr>
        <w:pStyle w:val="Compact"/>
      </w:pPr>
      <w:r>
        <w:t xml:space="preserve">Implementation of Iraq’s National Urban Development Strategy 2030, prioritizing modern infrastructure.</w:t>
      </w:r>
    </w:p>
    <w:p>
      <w:pPr>
        <w:numPr>
          <w:ilvl w:val="0"/>
          <w:numId w:val="1005"/>
        </w:numPr>
        <w:pStyle w:val="Compact"/>
      </w:pPr>
      <w:r>
        <w:t xml:space="preserve">Increased focus on sustainable design mandates from international development partners (World Bank, ADB) supporting Baghdad projects.</w:t>
      </w:r>
    </w:p>
    <w:p>
      <w:pPr>
        <w:pStyle w:val="FirstParagraph"/>
      </w:pPr>
      <w:r>
        <w:rPr>
          <w:bCs/>
          <w:b/>
        </w:rPr>
        <w:t xml:space="preserve">Recommended Actions:</w:t>
      </w:r>
    </w:p>
    <w:p>
      <w:pPr>
        <w:numPr>
          <w:ilvl w:val="0"/>
          <w:numId w:val="1006"/>
        </w:numPr>
        <w:pStyle w:val="Compact"/>
      </w:pPr>
      <w:r>
        <w:t xml:space="preserve">Invest $500K in expanding our Baghdad-based architectural team by 8 specialists specializing in sustainable infrastructure.</w:t>
      </w:r>
    </w:p>
    <w:p>
      <w:pPr>
        <w:numPr>
          <w:ilvl w:val="0"/>
          <w:numId w:val="1006"/>
        </w:numPr>
        <w:pStyle w:val="Compact"/>
      </w:pPr>
      <w:r>
        <w:t xml:space="preserve">Launch a "Baghdad Smart City Architectural Framework" as a flagship service offering, targeting upcoming government smart-city initiatives.</w:t>
      </w:r>
    </w:p>
    <w:p>
      <w:pPr>
        <w:numPr>
          <w:ilvl w:val="0"/>
          <w:numId w:val="1006"/>
        </w:numPr>
        <w:pStyle w:val="Compact"/>
      </w:pPr>
      <w:r>
        <w:t xml:space="preserve">Forge strategic alliances with key Baghdad construction equipment suppliers for bundled service packages, enhancing our sales conversion rate.</w:t>
      </w:r>
    </w:p>
    <w:bookmarkEnd w:id="25"/>
    <w:bookmarkStart w:id="26" w:name="Xdf796880456959177bace9cb2fee25fee4baf9c"/>
    <w:p>
      <w:pPr>
        <w:pStyle w:val="Heading2"/>
      </w:pPr>
      <w:r>
        <w:t xml:space="preserve">VII. Conclusion: The Indispensable Architect in Iraq's Capital City</w:t>
      </w:r>
    </w:p>
    <w:p>
      <w:pPr>
        <w:pStyle w:val="FirstParagraph"/>
      </w:pPr>
      <w:r>
        <w:t xml:space="preserve">This Sales Report unequivocally demonstrates that the role of the professional</w:t>
      </w:r>
      <w:r>
        <w:t xml:space="preserve"> </w:t>
      </w:r>
      <w:r>
        <w:rPr>
          <w:bCs/>
          <w:b/>
        </w:rPr>
        <w:t xml:space="preserve">Architect</w:t>
      </w:r>
      <w:r>
        <w:t xml:space="preserve"> </w:t>
      </w:r>
      <w:r>
        <w:t xml:space="preserve">has evolved into a strategic business imperative for success within the dynamic and high-potential market of</w:t>
      </w:r>
      <w:r>
        <w:t xml:space="preserve"> </w:t>
      </w:r>
      <w:r>
        <w:rPr>
          <w:bCs/>
          <w:b/>
        </w:rPr>
        <w:t xml:space="preserve">Iraq Baghdad</w:t>
      </w:r>
      <w:r>
        <w:t xml:space="preserve">. Our 15% YoY growth, coupled with a robust $38.2M pipeline specifically targeting Baghdad's development needs, validates our focus on delivering culturally intelligent, resilient, and economically sound architectural solutions. As Baghdad continues its journey towards becoming a modern regional hub while preserving its heritage, the</w:t>
      </w:r>
      <w:r>
        <w:t xml:space="preserve"> </w:t>
      </w:r>
      <w:r>
        <w:rPr>
          <w:bCs/>
          <w:b/>
        </w:rPr>
        <w:t xml:space="preserve">Architect</w:t>
      </w:r>
      <w:r>
        <w:t xml:space="preserve"> </w:t>
      </w:r>
      <w:r>
        <w:t xml:space="preserve">is not just designing buildings – they are shaping the city’s economic and social future. Our continued investment in local expertise, adaptive strategies for Baghdad’s unique context, and relentless focus on value-driven architectural service delivery position Nishtar Architects as the leading partner for developers committed to building Baghdad's legacy. The time to deepen our commitment as an</w:t>
      </w:r>
      <w:r>
        <w:t xml:space="preserve"> </w:t>
      </w:r>
      <w:r>
        <w:rPr>
          <w:bCs/>
          <w:b/>
        </w:rPr>
        <w:t xml:space="preserve">Architect</w:t>
      </w:r>
      <w:r>
        <w:t xml:space="preserve"> </w:t>
      </w:r>
      <w:r>
        <w:t xml:space="preserve">firm within</w:t>
      </w:r>
      <w:r>
        <w:t xml:space="preserve"> </w:t>
      </w:r>
      <w:r>
        <w:rPr>
          <w:bCs/>
          <w:b/>
        </w:rPr>
        <w:t xml:space="preserve">Iraq Baghdad</w:t>
      </w:r>
      <w:r>
        <w:t xml:space="preserve"> </w:t>
      </w:r>
      <w:r>
        <w:t xml:space="preserve">is now.</w:t>
      </w:r>
    </w:p>
    <w:p>
      <w:pPr>
        <w:pStyle w:val="BodyText"/>
      </w:pPr>
      <w:r>
        <w:rPr>
          <w:iCs/>
          <w:i/>
        </w:rPr>
        <w:t xml:space="preserve">This report details activities and market analysis specific to the</w:t>
      </w:r>
      <w:r>
        <w:rPr>
          <w:iCs/>
          <w:i/>
        </w:rPr>
        <w:t xml:space="preserve"> </w:t>
      </w:r>
      <w:r>
        <w:rPr>
          <w:bCs/>
          <w:b/>
          <w:iCs/>
          <w:i/>
        </w:rPr>
        <w:t xml:space="preserve">Iraq Baghdad</w:t>
      </w:r>
      <w:r>
        <w:rPr>
          <w:iCs/>
          <w:i/>
        </w:rPr>
        <w:t xml:space="preserve"> </w:t>
      </w:r>
      <w:r>
        <w:rPr>
          <w:iCs/>
          <w:i/>
        </w:rPr>
        <w:t xml:space="preserve">jurisdiction. All figures reflect confirmed contracts and pipeline assessments as of 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Services for Iraq Baghdad Market</dc:title>
  <dc:creator/>
  <dc:language>en</dc:language>
  <cp:keywords/>
  <dcterms:created xsi:type="dcterms:W3CDTF">2026-09-27T03:32:07Z</dcterms:created>
  <dcterms:modified xsi:type="dcterms:W3CDTF">2026-09-27T03:32:07Z</dcterms:modified>
</cp:coreProperties>
</file>

<file path=docProps/custom.xml><?xml version="1.0" encoding="utf-8"?>
<Properties xmlns="http://schemas.openxmlformats.org/officeDocument/2006/custom-properties" xmlns:vt="http://schemas.openxmlformats.org/officeDocument/2006/docPropsVTypes"/>
</file>