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9" w:name="X6c4dcf6a82ee7c0d148e34c918e8a23f842476c"/>
    <w:p>
      <w:pPr>
        <w:pStyle w:val="Heading1"/>
      </w:pPr>
      <w:r>
        <w:t xml:space="preserve">Sales Report: Architectural Services Market Analysis - Italy Milan</w:t>
      </w:r>
    </w:p>
    <w:p>
      <w:pPr>
        <w:pStyle w:val="FirstParagraph"/>
      </w:pPr>
      <w:r>
        <w:rPr>
          <w:bCs/>
          <w:b/>
        </w:rPr>
        <w:t xml:space="preserve">Prepared For:</w:t>
      </w:r>
      <w:r>
        <w:t xml:space="preserve"> </w:t>
      </w:r>
      <w:r>
        <w:t xml:space="preserve">Executive Management, Milan Office</w:t>
      </w:r>
      <w:r>
        <w:br/>
      </w:r>
      <w:r>
        <w:rPr>
          <w:bCs/>
          <w:b/>
        </w:rPr>
        <w:t xml:space="preserve">Date:</w:t>
      </w:r>
      <w:r>
        <w:t xml:space="preserve"> </w:t>
      </w:r>
      <w:r>
        <w:t xml:space="preserve">October 26, 2023</w:t>
      </w:r>
      <w:r>
        <w:br/>
      </w:r>
      <w:r>
        <w:rPr>
          <w:bCs/>
          <w:b/>
        </w:rPr>
        <w:t xml:space="preserve">Prepared By:</w:t>
      </w:r>
      <w:r>
        <w:t xml:space="preserve"> </w:t>
      </w:r>
      <w:r>
        <w:t xml:space="preserve">Global Architecture Solutions (GAS) Sales Intelligence Unit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architectural services within the vibrant urban landscape of Italy Milan. As one of Europe's premier design hubs and a global capital of innovation, Milan presents unparalleled opportunities for forward-thinking Architects to deliver transformative projects. The report confirms that our firm's specialized approach in sustainable luxury residential developments has positioned us as a preferred Architect partner among high-net-worth clients and institutional developers across Lombardy. Current sales metrics indicate a 15% year-over-year growth in signed architectural contracts, with Milan representing 72% of our total Italian revenue. This success underscores the critical importance of local market expertise for any Architect operating in Italy's most demanding architectural arena.</w:t>
      </w:r>
    </w:p>
    <w:bookmarkEnd w:id="20"/>
    <w:bookmarkStart w:id="21" w:name="Xc030eccd62b09bf5961b9524cf787c9a61b171d"/>
    <w:p>
      <w:pPr>
        <w:pStyle w:val="Heading2"/>
      </w:pPr>
      <w:r>
        <w:t xml:space="preserve">Market Overview: Milan's Architectural Landscape</w:t>
      </w:r>
    </w:p>
    <w:p>
      <w:pPr>
        <w:pStyle w:val="FirstParagraph"/>
      </w:pPr>
      <w:r>
        <w:t xml:space="preserve">Milan remains the undisputed epicenter of Italian architectural excellence, where historical preservation collides with cutting-edge innovation. As the financial and fashion capital of Italy, Milan attracts international investment in high-profile developments that demand exceptional Architectural vision. The city's 2030 Sustainable Urban Development Plan prioritizes energy-efficient buildings and mixed-use districts, creating a robust market for Architects specializing in green certifications (LEED, BREEAM). Our Sales Intelligence Unit confirms that 68% of commercial real estate projects in Milan now mandate sustainable design features—directly impacting our service demand. Furthermore, the recent expansion of the Milan Metro Line 5 and the redevelopment of Porta Garibaldi have intensified construction activity, generating a continuous pipeline for Architectural firms with proven urban integration expertise.</w:t>
      </w:r>
    </w:p>
    <w:p>
      <w:pPr>
        <w:pStyle w:val="BodyText"/>
      </w:pPr>
      <w:r>
        <w:rPr>
          <w:bCs/>
          <w:b/>
        </w:rPr>
        <w:t xml:space="preserve">Key Insight:</w:t>
      </w:r>
      <w:r>
        <w:t xml:space="preserve"> </w:t>
      </w:r>
      <w:r>
        <w:t xml:space="preserve">Milan's unique market requires Architects to balance historic context with modern aesthetics. Projects like the Fondazione Prada renovation and Bosco Verticale demonstrate that successful Architectural firms in Italy Milan must master both technical sustainability and cultural sensitivity.</w:t>
      </w:r>
    </w:p>
    <w:bookmarkEnd w:id="21"/>
    <w:bookmarkStart w:id="22" w:name="sales-performance-analysis-q3-2023"/>
    <w:p>
      <w:pPr>
        <w:pStyle w:val="Heading2"/>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Growth vs Q3 2022</w:t>
            </w:r>
          </w:p>
        </w:tc>
        <w:tc>
          <w:tcPr/>
          <w:p>
            <w:pPr>
              <w:pStyle w:val="Compact"/>
              <w:jc w:val="left"/>
            </w:pPr>
            <w:r>
              <w:t xml:space="preserve">Key Clients/Projects</w:t>
            </w:r>
          </w:p>
        </w:tc>
      </w:tr>
      <w:tr>
        <w:tc>
          <w:tcPr/>
          <w:p>
            <w:pPr>
              <w:pStyle w:val="Compact"/>
              <w:jc w:val="left"/>
            </w:pPr>
            <w:r>
              <w:t xml:space="preserve">Luxury Residential Design</w:t>
            </w:r>
          </w:p>
        </w:tc>
        <w:tc>
          <w:tcPr/>
          <w:p>
            <w:pPr>
              <w:pStyle w:val="Compact"/>
              <w:jc w:val="left"/>
            </w:pPr>
            <w:r>
              <w:t xml:space="preserve">485,000</w:t>
            </w:r>
          </w:p>
        </w:tc>
        <w:tc>
          <w:tcPr/>
          <w:p>
            <w:pPr>
              <w:pStyle w:val="Compact"/>
              <w:jc w:val="left"/>
            </w:pPr>
            <w:r>
              <w:t xml:space="preserve">19%</w:t>
            </w:r>
          </w:p>
        </w:tc>
        <w:tc>
          <w:tcPr/>
          <w:p>
            <w:pPr>
              <w:pStyle w:val="Compact"/>
              <w:jc w:val="left"/>
            </w:pPr>
            <w:r>
              <w:t xml:space="preserve">Villa Borromeo Expansion (Nerviano), Sky Villa Project (Brera)</w:t>
            </w:r>
          </w:p>
        </w:tc>
      </w:tr>
      <w:tr>
        <w:tc>
          <w:tcPr/>
          <w:p>
            <w:pPr>
              <w:pStyle w:val="Compact"/>
              <w:jc w:val="left"/>
            </w:pPr>
            <w:r>
              <w:t xml:space="preserve">Sustainable Commercial Architecture</w:t>
            </w:r>
          </w:p>
        </w:tc>
        <w:tc>
          <w:tcPr/>
          <w:p>
            <w:pPr>
              <w:pStyle w:val="Compact"/>
              <w:jc w:val="left"/>
            </w:pPr>
            <w:r>
              <w:t xml:space="preserve">327,500</w:t>
            </w:r>
          </w:p>
        </w:tc>
        <w:tc>
          <w:tcPr/>
          <w:p>
            <w:pPr>
              <w:pStyle w:val="Compact"/>
              <w:jc w:val="left"/>
            </w:pPr>
            <w:r>
              <w:t xml:space="preserve">12%</w:t>
            </w:r>
          </w:p>
        </w:tc>
        <w:tc>
          <w:tcPr/>
          <w:p>
            <w:pPr>
              <w:pStyle w:val="Compact"/>
              <w:jc w:val="left"/>
            </w:pPr>
            <w:r>
              <w:t xml:space="preserve">Galleria Vittorio Emanuele II Sustainability Upgrade</w:t>
            </w:r>
          </w:p>
        </w:tc>
      </w:tr>
      <w:tr>
        <w:tc>
          <w:tcPr/>
          <w:p>
            <w:pPr>
              <w:pStyle w:val="Compact"/>
              <w:jc w:val="left"/>
            </w:pPr>
            <w:r>
              <w:t xml:space="preserve">Urban Master Planning</w:t>
            </w:r>
          </w:p>
        </w:tc>
        <w:tc>
          <w:tcPr/>
          <w:p>
            <w:pPr>
              <w:pStyle w:val="Compact"/>
              <w:jc w:val="left"/>
            </w:pPr>
            <w:r>
              <w:t xml:space="preserve">563,000</w:t>
            </w:r>
          </w:p>
        </w:tc>
        <w:tc>
          <w:tcPr/>
          <w:p>
            <w:pPr>
              <w:pStyle w:val="Compact"/>
              <w:jc w:val="left"/>
            </w:pPr>
            <w:r>
              <w:t xml:space="preserve">24%</w:t>
            </w:r>
          </w:p>
        </w:tc>
        <w:tc>
          <w:tcPr/>
          <w:p>
            <w:pPr>
              <w:pStyle w:val="Compact"/>
              <w:jc w:val="left"/>
            </w:pPr>
            <w:r>
              <w:t xml:space="preserve">Sant'Agostino District Regeneration (City of Milan)</w:t>
            </w:r>
          </w:p>
        </w:tc>
      </w:tr>
      <w:tr>
        <w:tc>
          <w:tcPr/>
          <w:p>
            <w:pPr>
              <w:pStyle w:val="Compact"/>
              <w:jc w:val="left"/>
            </w:pPr>
            <w:r>
              <w:t xml:space="preserve">Heritage Conservation Consulting</w:t>
            </w:r>
          </w:p>
        </w:tc>
        <w:tc>
          <w:tcPr/>
          <w:p>
            <w:pPr>
              <w:pStyle w:val="Compact"/>
              <w:jc w:val="left"/>
            </w:pPr>
            <w:r>
              <w:t xml:space="preserve">198,500</w:t>
            </w:r>
          </w:p>
        </w:tc>
        <w:tc>
          <w:tcPr/>
          <w:p>
            <w:pPr>
              <w:pStyle w:val="Compact"/>
              <w:jc w:val="left"/>
            </w:pPr>
            <w:r>
              <w:t xml:space="preserve">8%</w:t>
            </w:r>
          </w:p>
        </w:tc>
        <w:tc>
          <w:tcPr/>
          <w:p>
            <w:pPr>
              <w:pStyle w:val="Compact"/>
              <w:jc w:val="left"/>
            </w:pPr>
            <w:r>
              <w:t xml:space="preserve">Casa della Musica Restoration (Historic Center)</w:t>
            </w:r>
          </w:p>
        </w:tc>
      </w:tr>
    </w:tbl>
    <w:p>
      <w:pPr>
        <w:pStyle w:val="BodyText"/>
      </w:pPr>
      <w:r>
        <w:rPr>
          <w:bCs/>
          <w:b/>
        </w:rPr>
        <w:t xml:space="preserve">Regional Impact:</w:t>
      </w:r>
      <w:r>
        <w:t xml:space="preserve"> </w:t>
      </w:r>
      <w:r>
        <w:t xml:space="preserve">Milan-based Architect teams have captured 89% of all high-value design contracts in Lombardy, significantly outperforming national competitors. The Sales Report identifies three critical success factors: (1) Deep understanding of Italian building codes (D.P.R. 380/2001), (2) Local network with municipal planning authorities, and (3) Portfolio demonstrating successful navigation of Milan's complex historic district regulations.</w:t>
      </w:r>
    </w:p>
    <w:bookmarkEnd w:id="22"/>
    <w:bookmarkStart w:id="25" w:name="key-projects-driving-sales-growth"/>
    <w:p>
      <w:pPr>
        <w:pStyle w:val="Heading2"/>
      </w:pPr>
      <w:r>
        <w:t xml:space="preserve">Key Projects Driving Sales Growth</w:t>
      </w:r>
    </w:p>
    <w:bookmarkStart w:id="23" w:name="the-navigli-district-renaissance-project"/>
    <w:p>
      <w:pPr>
        <w:pStyle w:val="Heading3"/>
      </w:pPr>
      <w:r>
        <w:t xml:space="preserve">1. The Navigli District Renaissance Project</w:t>
      </w:r>
    </w:p>
    <w:p>
      <w:pPr>
        <w:pStyle w:val="FirstParagraph"/>
      </w:pPr>
      <w:r>
        <w:t xml:space="preserve">This landmark commission—a 50,000m² mixed-use development along Milan's canals—secured €1.2M in architectural services revenue. The project exemplifies why Architects in Italy Milan must excel at adaptive reuse: transforming industrial warehouses into luxury residences while preserving the area's 19th-century character. Our Architect team leveraged exclusive partnerships with the Comune di Milano's Urban Renewal Office to fast-track permits, directly contributing to a 22% reduction in project initiation timelines versus market average.</w:t>
      </w:r>
    </w:p>
    <w:bookmarkEnd w:id="23"/>
    <w:bookmarkStart w:id="24" w:name="Xe6b320b225b7d611f823ee5a917ebf5736cc6c6"/>
    <w:p>
      <w:pPr>
        <w:pStyle w:val="Heading3"/>
      </w:pPr>
      <w:r>
        <w:t xml:space="preserve">2. Sustainable Corporate Headquarters for Global Fashion Brand</w:t>
      </w:r>
    </w:p>
    <w:p>
      <w:pPr>
        <w:pStyle w:val="FirstParagraph"/>
      </w:pPr>
      <w:r>
        <w:t xml:space="preserve">A €850K contract for a LEED Platinum-certified headquarters in the CityLife district demonstrates how our Architect specialization aligns with Milan's economic priorities. The project required integrating solar canopies and rainwater recycling systems while meeting stringent fashion industry aesthetic standards. This success has generated three additional client referrals from Milan's luxury retail sector, proving that Architectural excellence creates compounding sales opportunities in Italy's competitive market.</w:t>
      </w:r>
    </w:p>
    <w:bookmarkEnd w:id="24"/>
    <w:bookmarkEnd w:id="25"/>
    <w:bookmarkStart w:id="26" w:name="challenges-strategic-imperatives"/>
    <w:p>
      <w:pPr>
        <w:pStyle w:val="Heading2"/>
      </w:pPr>
      <w:r>
        <w:t xml:space="preserve">Challenges &amp; Strategic Imperatives</w:t>
      </w:r>
    </w:p>
    <w:p>
      <w:pPr>
        <w:pStyle w:val="FirstParagraph"/>
      </w:pPr>
      <w:r>
        <w:t xml:space="preserve">Despite strong growth, our Sales Report identifies critical challenges requiring immediate Architect-led solutions:</w:t>
      </w:r>
    </w:p>
    <w:p>
      <w:pPr>
        <w:numPr>
          <w:ilvl w:val="0"/>
          <w:numId w:val="1001"/>
        </w:numPr>
        <w:pStyle w:val="Compact"/>
      </w:pPr>
      <w:r>
        <w:rPr>
          <w:bCs/>
          <w:b/>
        </w:rPr>
        <w:t xml:space="preserve">Regulatory Complexity:</w:t>
      </w:r>
      <w:r>
        <w:t xml:space="preserve"> </w:t>
      </w:r>
      <w:r>
        <w:t xml:space="preserve">Milan's municipal bureaucracy remains a major sales barrier. 63% of potential clients cite permit delays as their primary concern, directly impacting Architect engagement timelines.</w:t>
      </w:r>
    </w:p>
    <w:p>
      <w:pPr>
        <w:numPr>
          <w:ilvl w:val="0"/>
          <w:numId w:val="1001"/>
        </w:numPr>
        <w:pStyle w:val="Compact"/>
      </w:pPr>
      <w:r>
        <w:rPr>
          <w:bCs/>
          <w:b/>
        </w:rPr>
        <w:t xml:space="preserve">Talent Shortage:</w:t>
      </w:r>
      <w:r>
        <w:t xml:space="preserve"> </w:t>
      </w:r>
      <w:r>
        <w:t xml:space="preserve">Only 14% of Milan's Architect firms can staff projects with certified BIM specialists—critical for meeting EU energy efficiency requirements.</w:t>
      </w:r>
    </w:p>
    <w:p>
      <w:pPr>
        <w:numPr>
          <w:ilvl w:val="0"/>
          <w:numId w:val="1001"/>
        </w:numPr>
        <w:pStyle w:val="Compact"/>
      </w:pPr>
      <w:r>
        <w:rPr>
          <w:bCs/>
          <w:b/>
        </w:rPr>
        <w:t xml:space="preserve">Competitive Pressure:</w:t>
      </w:r>
      <w:r>
        <w:t xml:space="preserve"> </w:t>
      </w:r>
      <w:r>
        <w:t xml:space="preserve">Foreign architectural firms (primarily German and French) are aggressively bidding on Milan contracts, often underestimating local market nuances.</w:t>
      </w:r>
    </w:p>
    <w:p>
      <w:pPr>
        <w:pStyle w:val="FirstParagraph"/>
      </w:pPr>
      <w:r>
        <w:rPr>
          <w:bCs/>
          <w:b/>
        </w:rPr>
        <w:t xml:space="preserve">Strategic Recommendation:</w:t>
      </w:r>
      <w:r>
        <w:t xml:space="preserve"> </w:t>
      </w:r>
      <w:r>
        <w:t xml:space="preserve">Immediately establish a dedicated Milan Municipal Liaison Office staffed by Italian-licensed Architects with 10+ years' experience navigating Comune de Milano processes. This initiative will directly address 78% of client concerns related to project initiation timelines.</w:t>
      </w:r>
    </w:p>
    <w:bookmarkEnd w:id="26"/>
    <w:bookmarkStart w:id="27" w:name="opportunities-for-future-sales-expansion"/>
    <w:p>
      <w:pPr>
        <w:pStyle w:val="Heading2"/>
      </w:pPr>
      <w:r>
        <w:t xml:space="preserve">Opportunities for Future Sales Expansion</w:t>
      </w:r>
    </w:p>
    <w:p>
      <w:pPr>
        <w:pStyle w:val="FirstParagraph"/>
      </w:pPr>
      <w:r>
        <w:t xml:space="preserve">The Sales Report identifies three high-potential growth vectors for Architect services in Italy Milan:</w:t>
      </w:r>
    </w:p>
    <w:p>
      <w:pPr>
        <w:numPr>
          <w:ilvl w:val="0"/>
          <w:numId w:val="1002"/>
        </w:numPr>
        <w:pStyle w:val="Compact"/>
      </w:pPr>
      <w:r>
        <w:rPr>
          <w:bCs/>
          <w:b/>
        </w:rPr>
        <w:t xml:space="preserve">Healthcare Infrastructure Boom:</w:t>
      </w:r>
      <w:r>
        <w:t xml:space="preserve"> </w:t>
      </w:r>
      <w:r>
        <w:t xml:space="preserve">With Milan's aging population, the healthcare sector is investing €4.3B in new facilities through 2025. Our Architect team's recent win on the Ospedale Niguarda expansion (€650K contract) positions us to capture 30% market share in this vertical.</w:t>
      </w:r>
    </w:p>
    <w:p>
      <w:pPr>
        <w:numPr>
          <w:ilvl w:val="0"/>
          <w:numId w:val="1002"/>
        </w:numPr>
        <w:pStyle w:val="Compact"/>
      </w:pPr>
      <w:r>
        <w:rPr>
          <w:bCs/>
          <w:b/>
        </w:rPr>
        <w:t xml:space="preserve">Post-Pandemic Workspace Innovation:</w:t>
      </w:r>
      <w:r>
        <w:t xml:space="preserve"> </w:t>
      </w:r>
      <w:r>
        <w:t xml:space="preserve">Milan's commercial real estate sector is prioritizing biophilic design and flexible layouts. A new 2024 survey indicates 87% of corporations require Architect services with wellness-focused credentials.</w:t>
      </w:r>
    </w:p>
    <w:p>
      <w:pPr>
        <w:numPr>
          <w:ilvl w:val="0"/>
          <w:numId w:val="1002"/>
        </w:numPr>
        <w:pStyle w:val="Compact"/>
      </w:pPr>
      <w:r>
        <w:rPr>
          <w:bCs/>
          <w:b/>
        </w:rPr>
        <w:t xml:space="preserve">Tech-Integrated Residential Developments:</w:t>
      </w:r>
      <w:r>
        <w:t xml:space="preserve"> </w:t>
      </w:r>
      <w:r>
        <w:t xml:space="preserve">The "Smart City" initiative in Milan has created demand for Architects who understand IoT integration in building systems, representing a €1.1B opportunity by 2026.</w:t>
      </w:r>
    </w:p>
    <w:bookmarkEnd w:id="27"/>
    <w:bookmarkStart w:id="28" w:name="Xaa1d9d0a62b58820186abf0883cf8b4c7eb0607"/>
    <w:p>
      <w:pPr>
        <w:pStyle w:val="Heading2"/>
      </w:pPr>
      <w:r>
        <w:t xml:space="preserve">Conclusion: Positioning as the Preferred Architect in Italy Milan</w:t>
      </w:r>
    </w:p>
    <w:p>
      <w:pPr>
        <w:pStyle w:val="FirstParagraph"/>
      </w:pPr>
      <w:r>
        <w:t xml:space="preserve">This Sales Report unequivocally demonstrates that our firm's market leadership stems from an unwavering commitment to understanding Milan's unique architectural ecosystem. As the premier destination for innovative design in Italy, Milan demands Architects who don't just follow trends but shape them through cultural intelligence and technical excellence. Our 15% YoY growth validates that clients prioritize firms with deep local roots—evidenced by our 42% client retention rate among Milan-based developers.</w:t>
      </w:r>
    </w:p>
    <w:p>
      <w:pPr>
        <w:pStyle w:val="BodyText"/>
      </w:pPr>
      <w:r>
        <w:t xml:space="preserve">Looking ahead, we recommend doubling down on three strategic pillars: (1) Establishing a Milan-specific Architect training program focused on historic district compliance, (2) Creating an industry partnership with Politecnico di Milano to access emerging talent, and (3) Developing a specialized sales team dedicated exclusively to Milan's municipal procurement cycles. These actions will solidify our position as the go-to Architect for high-impact projects across Italy Milan's evolving urban fabric.</w:t>
      </w:r>
    </w:p>
    <w:p>
      <w:pPr>
        <w:pStyle w:val="BodyText"/>
      </w:pPr>
      <w:r>
        <w:t xml:space="preserve">As confirmed by our Q3 performance, when Architects master the intersection of technical innovation and cultural context, they unlock exponential sales growth in Italy's most sophisticated market. The path forward is clear: deepen our Milan expertise, elevate our sustainable design capabilities, and continue delivering Architectural solutions that define the future of this extraordinary city.</w:t>
      </w:r>
    </w:p>
    <w:p>
      <w:pPr>
        <w:pStyle w:val="BodyText"/>
      </w:pPr>
      <w:r>
        <w:rPr>
          <w:bCs/>
          <w:b/>
        </w:rPr>
        <w:t xml:space="preserve">Prepared By:</w:t>
      </w:r>
      <w:r>
        <w:t xml:space="preserve"> </w:t>
      </w:r>
      <w:r>
        <w:t xml:space="preserve">Global Architecture Solutions Sales Intelligence Division</w:t>
      </w:r>
      <w:r>
        <w:br/>
      </w:r>
      <w:r>
        <w:rPr>
          <w:iCs/>
          <w:i/>
        </w:rPr>
        <w:t xml:space="preserve">This Sales Report represents proprietary market analysis based on 12 months of client data across Italy Milan's architectural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 Italy Milan Market Analysis</dc:title>
  <dc:creator/>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