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Excellence</w:t>
      </w:r>
      <w:r>
        <w:t xml:space="preserve"> </w:t>
      </w:r>
      <w:r>
        <w:t xml:space="preserve">in</w:t>
      </w:r>
      <w:r>
        <w:t xml:space="preserve"> </w:t>
      </w:r>
      <w:r>
        <w:t xml:space="preserve">Italy</w:t>
      </w:r>
      <w:r>
        <w:t xml:space="preserve"> </w:t>
      </w:r>
      <w:r>
        <w:t xml:space="preserve">Rome</w:t>
      </w:r>
    </w:p>
    <w:bookmarkStart w:id="27" w:name="X0006a53d92d97df4eb3f332d494e68e18fd8696"/>
    <w:p>
      <w:pPr>
        <w:pStyle w:val="Heading1"/>
      </w:pPr>
      <w:r>
        <w:t xml:space="preserve">Sales Report: Architectural Innovation and Market Performance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Global Design Partnerships</w:t>
      </w:r>
      <w:r>
        <w:br/>
      </w:r>
      <w:r>
        <w:rPr>
          <w:bCs/>
          <w:b/>
        </w:rPr>
        <w:t xml:space="preserve">Prepared By:</w:t>
      </w:r>
      <w:r>
        <w:t xml:space="preserve"> </w:t>
      </w:r>
      <w:r>
        <w:t xml:space="preserve">Sales &amp; Strategy Division, Architectural Solutions Group</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within the dynamic market of Italy Rome. As one of Europe's most historically rich and architecturally significant cities, Rome presents unparalleled opportunities for innovative design solutions that harmonize with its cultural heritage while addressing contemporary urban needs. The report outlines a 15% year-over-year growth in project acquisitions, driven by strategic partnerships, heightened demand for sustainable architecture, and our team’s deep understanding of Italian regulatory frameworks. This success underscores the critical role of the</w:t>
      </w:r>
      <w:r>
        <w:t xml:space="preserve"> </w:t>
      </w:r>
      <w:r>
        <w:rPr>
          <w:iCs/>
          <w:i/>
        </w:rPr>
        <w:t xml:space="preserve">Architect</w:t>
      </w:r>
      <w:r>
        <w:t xml:space="preserve"> </w:t>
      </w:r>
      <w:r>
        <w:t xml:space="preserve">as both a creative visionary and a business catalyst in the Rome market.</w:t>
      </w:r>
    </w:p>
    <w:bookmarkEnd w:id="20"/>
    <w:bookmarkStart w:id="21" w:name="ii.-market-analysis-italy-rome-context"/>
    <w:p>
      <w:pPr>
        <w:pStyle w:val="Heading2"/>
      </w:pPr>
      <w:r>
        <w:t xml:space="preserve">II. Market Analysis: Italy Rome Context</w:t>
      </w:r>
    </w:p>
    <w:p>
      <w:pPr>
        <w:pStyle w:val="FirstParagraph"/>
      </w:pPr>
      <w:r>
        <w:t xml:space="preserve">Rome’s architectural landscape is defined by its UNESCO-listed historic center, rapid urban expansion in districts like Ostiense, and stringent preservation laws enforced by the Soprintendenza Archeologica di Roma. In 2023, the city approved over 475 new construction permits—32% higher than 2021—primarily for mixed-use developments and heritage-sensitive renovations. This surge directly aligns with our firm’s core competency: delivering</w:t>
      </w:r>
      <w:r>
        <w:t xml:space="preserve"> </w:t>
      </w:r>
      <w:r>
        <w:rPr>
          <w:iCs/>
          <w:i/>
        </w:rPr>
        <w:t xml:space="preserve">Architect</w:t>
      </w:r>
      <w:r>
        <w:t xml:space="preserve">-led projects that navigate complex Italian zoning codes while meeting client aspirations. For instance, our recent collaboration with the Municipality of Rome on the EUR District revitalization project exemplifies how strategic sales initiatives translate into market leadership.</w:t>
      </w:r>
    </w:p>
    <w:p>
      <w:pPr>
        <w:pStyle w:val="BodyText"/>
      </w:pPr>
      <w:r>
        <w:t xml:space="preserve">The demand for specialized architectural services in Italy Rome has evolved beyond traditional design. Clients now prioritize: (1) energy-efficient retrofits compliant with Italian Decree 50/2013, (2) adaptive reuse of historic buildings, and (3) integration of digital tools like BIM to streamline approvals. Our sales team identified these trends early through quarterly market intelligence sessions with local stakeholders in Via del Corso and Trastevere—a key factor in closing 18 high-value contracts this year.</w:t>
      </w:r>
    </w:p>
    <w:bookmarkEnd w:id="21"/>
    <w:bookmarkStart w:id="22" w:name="iii.-sales-performance-highlights"/>
    <w:p>
      <w:pPr>
        <w:pStyle w:val="Heading2"/>
      </w:pPr>
      <w:r>
        <w:t xml:space="preserve">III. Sales Performance Highlights</w:t>
      </w:r>
    </w:p>
    <w:p>
      <w:pPr>
        <w:pStyle w:val="FirstParagraph"/>
      </w:pPr>
      <w:r>
        <w:rPr>
          <w:bCs/>
          <w:b/>
        </w:rPr>
        <w:t xml:space="preserve">Project Portfolio Growth:</w:t>
      </w:r>
      <w:r>
        <w:t xml:space="preserve"> </w:t>
      </w:r>
      <w:r>
        <w:t xml:space="preserve">We secured 37 new client engagements worth €14.8M, a 22% increase from 2022. Key projects include:</w:t>
      </w:r>
    </w:p>
    <w:p>
      <w:pPr>
        <w:numPr>
          <w:ilvl w:val="0"/>
          <w:numId w:val="1001"/>
        </w:numPr>
        <w:pStyle w:val="Compact"/>
      </w:pPr>
      <w:r>
        <w:t xml:space="preserve">The "Villa Borghese Green Hub" (€3.5M): A sustainable residential complex preserving Roman gardens, co-developed with the city’s Department of Environmental Protection.</w:t>
      </w:r>
    </w:p>
    <w:p>
      <w:pPr>
        <w:numPr>
          <w:ilvl w:val="0"/>
          <w:numId w:val="1001"/>
        </w:numPr>
        <w:pStyle w:val="Compact"/>
      </w:pPr>
      <w:r>
        <w:t xml:space="preserve">The "Testaccio Cultural Quarter" (€4.2M): Adaptive reuse of a 19th-century warehouse into an arts center, winning the 2023 Italian Architecture Award.</w:t>
      </w:r>
    </w:p>
    <w:p>
      <w:pPr>
        <w:numPr>
          <w:ilvl w:val="0"/>
          <w:numId w:val="1001"/>
        </w:numPr>
        <w:pStyle w:val="Compact"/>
      </w:pPr>
      <w:r>
        <w:t xml:space="preserve">Commercial Fit-Outs for European Brands: Four luxury retail spaces in Rome’s Golden Triangle, emphasizing seamless integration with Baroque facades.</w:t>
      </w:r>
    </w:p>
    <w:p>
      <w:pPr>
        <w:pStyle w:val="FirstParagraph"/>
      </w:pPr>
      <w:r>
        <w:rPr>
          <w:bCs/>
          <w:b/>
        </w:rPr>
        <w:t xml:space="preserve">Sales Channel Effectiveness:</w:t>
      </w:r>
      <w:r>
        <w:t xml:space="preserve"> </w:t>
      </w:r>
      <w:r>
        <w:t xml:space="preserve">Our Rome-based sales team achieved a 38% conversion rate from lead to contract—surpassing the global average of 29%. This success stems from localized relationship-building: monthly networking events at the Associazione Nazionale Architetti (ANA) and tailored presentations addressing Rome-specific challenges, such as soil stability concerns in the Tiber Valley.</w:t>
      </w:r>
    </w:p>
    <w:bookmarkEnd w:id="22"/>
    <w:bookmarkStart w:id="23" w:name="iv.-challenges-strategic-responses"/>
    <w:p>
      <w:pPr>
        <w:pStyle w:val="Heading2"/>
      </w:pPr>
      <w:r>
        <w:t xml:space="preserve">IV. Challenges &amp; Strategic Responses</w:t>
      </w:r>
    </w:p>
    <w:p>
      <w:pPr>
        <w:pStyle w:val="FirstParagraph"/>
      </w:pPr>
      <w:r>
        <w:t xml:space="preserve">Rome’s architectural market presents unique hurdles, notably bureaucratic delays in building permits and rising material costs due to EU sustainability mandates. In Q3 2023, 14% of proposals faced approval setbacks—a figure we reduced to 6% through proactive measures:</w:t>
      </w:r>
    </w:p>
    <w:p>
      <w:pPr>
        <w:numPr>
          <w:ilvl w:val="0"/>
          <w:numId w:val="1002"/>
        </w:numPr>
        <w:pStyle w:val="Compact"/>
      </w:pPr>
      <w:r>
        <w:t xml:space="preserve">Partnering with local legal firm Studio Legale Roma to pre-verify all submissions against Comune di Roma requirements.</w:t>
      </w:r>
    </w:p>
    <w:p>
      <w:pPr>
        <w:numPr>
          <w:ilvl w:val="0"/>
          <w:numId w:val="1002"/>
        </w:numPr>
        <w:pStyle w:val="Compact"/>
      </w:pPr>
      <w:r>
        <w:t xml:space="preserve">Introducing "Rome Compliance Certificates" as a sales differentiator, guaranteeing adherence to Italian heritage laws.</w:t>
      </w:r>
    </w:p>
    <w:p>
      <w:pPr>
        <w:numPr>
          <w:ilvl w:val="0"/>
          <w:numId w:val="1002"/>
        </w:numPr>
        <w:pStyle w:val="Compact"/>
      </w:pPr>
      <w:r>
        <w:t xml:space="preserve">Negotiating bulk contracts with Roman suppliers like CEMENTI ROMANI for 15% cost savings on eco-materials.</w:t>
      </w:r>
    </w:p>
    <w:p>
      <w:pPr>
        <w:pStyle w:val="FirstParagraph"/>
      </w:pPr>
      <w:r>
        <w:t xml:space="preserve">These strategies directly contributed to our 20% increase in repeat clients, including major developers like Gruppo Mutui and the Vatican’s Property Management Office—proof that the</w:t>
      </w:r>
      <w:r>
        <w:t xml:space="preserve"> </w:t>
      </w:r>
      <w:r>
        <w:rPr>
          <w:iCs/>
          <w:i/>
        </w:rPr>
        <w:t xml:space="preserve">Architect</w:t>
      </w:r>
      <w:r>
        <w:t xml:space="preserve"> </w:t>
      </w:r>
      <w:r>
        <w:t xml:space="preserve">must be a problem-solving business partner, not just a designer.</w:t>
      </w:r>
    </w:p>
    <w:bookmarkEnd w:id="23"/>
    <w:bookmarkStart w:id="24" w:name="v.-competitive-positioning-in-italy-rome"/>
    <w:p>
      <w:pPr>
        <w:pStyle w:val="Heading2"/>
      </w:pPr>
      <w:r>
        <w:t xml:space="preserve">V. Competitive Positioning in Italy Rome</w:t>
      </w:r>
    </w:p>
    <w:p>
      <w:pPr>
        <w:pStyle w:val="FirstParagraph"/>
      </w:pPr>
      <w:r>
        <w:t xml:space="preserve">Rome’s architectural market is fiercely competitive, with 178 active firms vying for contracts. Our Sales Report identifies our edge as the fusion of global expertise and hyper-local knowledge. While competitors focus on generic urban design, we leverage Rome-specific assets:</w:t>
      </w:r>
    </w:p>
    <w:p>
      <w:pPr>
        <w:numPr>
          <w:ilvl w:val="0"/>
          <w:numId w:val="1003"/>
        </w:numPr>
        <w:pStyle w:val="Compact"/>
      </w:pPr>
      <w:r>
        <w:rPr>
          <w:bCs/>
          <w:b/>
        </w:rPr>
        <w:t xml:space="preserve">Historical Sensitivity:</w:t>
      </w:r>
      <w:r>
        <w:t xml:space="preserve"> </w:t>
      </w:r>
      <w:r>
        <w:t xml:space="preserve">All projects include mandatory consultations with archaeologists—a requirement absent in other Italian cities.</w:t>
      </w:r>
    </w:p>
    <w:p>
      <w:pPr>
        <w:numPr>
          <w:ilvl w:val="0"/>
          <w:numId w:val="1003"/>
        </w:numPr>
        <w:pStyle w:val="Compact"/>
      </w:pPr>
      <w:r>
        <w:rPr>
          <w:bCs/>
          <w:b/>
        </w:rPr>
        <w:t xml:space="preserve">Social Capital:</w:t>
      </w:r>
      <w:r>
        <w:t xml:space="preserve"> </w:t>
      </w:r>
      <w:r>
        <w:t xml:space="preserve">Our team’s membership in the Collegio degli Architetti di Roma grants exclusive access to tender lists.</w:t>
      </w:r>
    </w:p>
    <w:p>
      <w:pPr>
        <w:numPr>
          <w:ilvl w:val="0"/>
          <w:numId w:val="1003"/>
        </w:numPr>
        <w:pStyle w:val="Compact"/>
      </w:pPr>
      <w:r>
        <w:rPr>
          <w:bCs/>
          <w:b/>
        </w:rPr>
        <w:t xml:space="preserve">Cultural Storytelling:</w:t>
      </w:r>
      <w:r>
        <w:t xml:space="preserve"> </w:t>
      </w:r>
      <w:r>
        <w:t xml:space="preserve">Sales pitches emphasize how designs "narrate Rome’s story," resonating with clients seeking authentic local engagement.</w:t>
      </w:r>
    </w:p>
    <w:p>
      <w:pPr>
        <w:pStyle w:val="FirstParagraph"/>
      </w:pPr>
      <w:r>
        <w:t xml:space="preserve">This approach has positioned us as the preferred partner for 68% of high-budget projects in central Rome, outperforming regional rivals by 27 percentage points in client satisfaction scores.</w:t>
      </w:r>
    </w:p>
    <w:bookmarkEnd w:id="24"/>
    <w:bookmarkStart w:id="25" w:name="X21b9e986034a957097163e9e697a7b5709330b3"/>
    <w:p>
      <w:pPr>
        <w:pStyle w:val="Heading2"/>
      </w:pPr>
      <w:r>
        <w:t xml:space="preserve">VI. Future Sales Strategy: Building for Rome’s Next Era</w:t>
      </w:r>
    </w:p>
    <w:p>
      <w:pPr>
        <w:pStyle w:val="FirstParagraph"/>
      </w:pPr>
      <w:r>
        <w:t xml:space="preserve">Based on market trends, our 2024 strategy focuses on three pillars:</w:t>
      </w:r>
    </w:p>
    <w:p>
      <w:pPr>
        <w:numPr>
          <w:ilvl w:val="0"/>
          <w:numId w:val="1004"/>
        </w:numPr>
        <w:pStyle w:val="Compact"/>
      </w:pPr>
      <w:r>
        <w:rPr>
          <w:bCs/>
          <w:b/>
        </w:rPr>
        <w:t xml:space="preserve">Green Architecture Expansion:</w:t>
      </w:r>
      <w:r>
        <w:t xml:space="preserve"> </w:t>
      </w:r>
      <w:r>
        <w:t xml:space="preserve">Targeting Rome’s 30% renewable energy mandate by developing a "Net-Zero Architect" certification for our team.</w:t>
      </w:r>
    </w:p>
    <w:p>
      <w:pPr>
        <w:numPr>
          <w:ilvl w:val="0"/>
          <w:numId w:val="1004"/>
        </w:numPr>
        <w:pStyle w:val="Compact"/>
      </w:pPr>
      <w:r>
        <w:rPr>
          <w:bCs/>
          <w:b/>
        </w:rPr>
        <w:t xml:space="preserve">Digital Sales Platforms:</w:t>
      </w:r>
      <w:r>
        <w:t xml:space="preserve"> </w:t>
      </w:r>
      <w:r>
        <w:t xml:space="preserve">Launching an AR app allowing clients to visualize projects in Rome’s historic settings (e.g., placing a modern extension on the Pantheon facade).</w:t>
      </w:r>
    </w:p>
    <w:p>
      <w:pPr>
        <w:numPr>
          <w:ilvl w:val="0"/>
          <w:numId w:val="1004"/>
        </w:numPr>
        <w:pStyle w:val="Compact"/>
      </w:pPr>
      <w:r>
        <w:rPr>
          <w:bCs/>
          <w:b/>
        </w:rPr>
        <w:t xml:space="preserve">Community-Driven Projects:</w:t>
      </w:r>
      <w:r>
        <w:t xml:space="preserve"> </w:t>
      </w:r>
      <w:r>
        <w:t xml:space="preserve">Partnering with neighborhood associations like Roma Capitale for participatory design workshops—turning sales into community value.</w:t>
      </w:r>
    </w:p>
    <w:p>
      <w:pPr>
        <w:pStyle w:val="FirstParagraph"/>
      </w:pPr>
      <w:r>
        <w:t xml:space="preserve">The Sales Report confirms that Rome’s architectural future belongs to firms who treat the</w:t>
      </w:r>
      <w:r>
        <w:t xml:space="preserve"> </w:t>
      </w:r>
      <w:r>
        <w:rPr>
          <w:iCs/>
          <w:i/>
        </w:rPr>
        <w:t xml:space="preserve">Architect</w:t>
      </w:r>
      <w:r>
        <w:t xml:space="preserve"> </w:t>
      </w:r>
      <w:r>
        <w:t xml:space="preserve">as a strategic growth driver. As the city prepares for Expo 2025, we project €21M in new opportunities by Q4 2024—demanding aggressive yet culturally attuned sales execution.</w:t>
      </w:r>
    </w:p>
    <w:bookmarkEnd w:id="25"/>
    <w:bookmarkStart w:id="26" w:name="Xe831de6cb2a2a3d62f61174afa58b87b4e938ee"/>
    <w:p>
      <w:pPr>
        <w:pStyle w:val="Heading2"/>
      </w:pPr>
      <w:r>
        <w:t xml:space="preserve">VII. Conclusion: The Architect as Rome’s Growth Engine</w:t>
      </w:r>
    </w:p>
    <w:p>
      <w:pPr>
        <w:pStyle w:val="FirstParagraph"/>
      </w:pPr>
      <w:r>
        <w:t xml:space="preserve">This Sales Report reaffirms that architectural excellence is inseparable from commercial success in Italy Rome. By embedding the</w:t>
      </w:r>
      <w:r>
        <w:t xml:space="preserve"> </w:t>
      </w:r>
      <w:r>
        <w:rPr>
          <w:iCs/>
          <w:i/>
        </w:rPr>
        <w:t xml:space="preserve">Architect</w:t>
      </w:r>
      <w:r>
        <w:t xml:space="preserve"> </w:t>
      </w:r>
      <w:r>
        <w:t xml:space="preserve">within the city’s economic and cultural fabric—from navigating Vatican land acquisitions to revitalizing post-Expo districts—we have transformed design services into a revenue engine. Our 15% growth isn’t just about numbers; it represents how thoughtful architecture creates lasting value for Rome’s residents, economy, and global reputation.</w:t>
      </w:r>
    </w:p>
    <w:p>
      <w:pPr>
        <w:pStyle w:val="BodyText"/>
      </w:pPr>
      <w:r>
        <w:t xml:space="preserve">As we move forward, every sale will carry the weight of Rome’s legacy. This Sales Report is not merely an analysis—it is a blueprint for ensuring our Architectural practice remains synonymous with innovation in the Eternal City. The future of Italy Rome’s skyline depends on partners who understand that great architecture isn’t just built; it’s sold, shared, and celebrated.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Excellence in Italy Rome</dc:title>
  <dc:creator/>
  <cp:keywords/>
  <dcterms:created xsi:type="dcterms:W3CDTF">2026-07-20T23:19:50Z</dcterms:created>
  <dcterms:modified xsi:type="dcterms:W3CDTF">2026-07-20T23:19:50Z</dcterms:modified>
</cp:coreProperties>
</file>

<file path=docProps/custom.xml><?xml version="1.0" encoding="utf-8"?>
<Properties xmlns="http://schemas.openxmlformats.org/officeDocument/2006/custom-properties" xmlns:vt="http://schemas.openxmlformats.org/officeDocument/2006/docPropsVTypes"/>
</file>