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9" w:name="Xc2d7c17e4a2ebec76342fc466b3cc7997e2b7b1"/>
    <w:p>
      <w:pPr>
        <w:pStyle w:val="Heading1"/>
      </w:pPr>
      <w:r>
        <w:t xml:space="preserve">ARCHITECTURAL SALES REPORT: IVORY COAST ABIDJAN MARKET OUTLOOK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Abidjan Design Collective</w:t>
      </w:r>
      <w:r>
        <w:br/>
      </w:r>
      <w:r>
        <w:rPr>
          <w:bCs/>
          <w:b/>
        </w:rPr>
        <w:t xml:space="preserve">Prepared By:</w:t>
      </w:r>
      <w:r>
        <w:t xml:space="preserve"> </w:t>
      </w:r>
      <w:r>
        <w:t xml:space="preserve">Sales &amp; Market Intelligence Department</w:t>
      </w:r>
    </w:p>
    <w:bookmarkStart w:id="20" w:name="i.-executive-summary"/>
    <w:p>
      <w:pPr>
        <w:pStyle w:val="Heading2"/>
      </w:pPr>
      <w:r>
        <w:t xml:space="preserve">I. Executive Summary</w:t>
      </w:r>
    </w:p>
    <w:p>
      <w:pPr>
        <w:pStyle w:val="FirstParagraph"/>
      </w:pPr>
      <w:r>
        <w:t xml:space="preserve">This comprehensive Sales Report details the architectural service performance metrics for the Ivory Coast Abidjan market during the third quarter of 2023. As leading architects serving West Africa's economic hub, our firm has secured 14 major projects totaling $8.7 million in contracted value, marking a 22% year-over-year growth. The report validates our strategic pivot toward sustainable urban development in Abidjan's expanding districts, directly addressing the Ivory Coast government's "Abidjan Smart City" initiative. This Sales Report underscores how our Architect practice has become indispensable to developers navigating complex regulatory landscapes and rising demand for eco-conscious infrastructure across the nation.</w:t>
      </w:r>
    </w:p>
    <w:bookmarkEnd w:id="20"/>
    <w:bookmarkStart w:id="21" w:name="X863e7580a3b4da7a50c05d85cfa16864842ef09"/>
    <w:p>
      <w:pPr>
        <w:pStyle w:val="Heading2"/>
      </w:pPr>
      <w:r>
        <w:t xml:space="preserve">II. Market Context: Ivory Coast Abidjan Real Estate Dynamics</w:t>
      </w:r>
    </w:p>
    <w:p>
      <w:pPr>
        <w:pStyle w:val="FirstParagraph"/>
      </w:pPr>
      <w:r>
        <w:t xml:space="preserve">Abidjan, the economic capital of Ivory Coast, continues to drive 45% of national GDP with a construction boom fueled by $12.3B in infrastructure investments through 2030. The city's population has surged to 6.7 million (up 18% since 2019), creating unprecedented demand for mixed-use developments, affordable housing, and commercial hubs. As the premier Architect firm operating within Ivory Coast Abidjan's regulatory ecosystem, we've observed three critical market shifts:</w:t>
      </w:r>
    </w:p>
    <w:p>
      <w:pPr>
        <w:numPr>
          <w:ilvl w:val="0"/>
          <w:numId w:val="1001"/>
        </w:numPr>
        <w:pStyle w:val="Compact"/>
      </w:pPr>
      <w:r>
        <w:rPr>
          <w:bCs/>
          <w:b/>
        </w:rPr>
        <w:t xml:space="preserve">Sustainability Mandates:</w:t>
      </w:r>
      <w:r>
        <w:t xml:space="preserve"> </w:t>
      </w:r>
      <w:r>
        <w:t xml:space="preserve">New Ivory Coast Building Codes (2023) now require 30% energy efficiency in all new constructions – a catalyst for our green architectural solutions</w:t>
      </w:r>
    </w:p>
    <w:p>
      <w:pPr>
        <w:numPr>
          <w:ilvl w:val="0"/>
          <w:numId w:val="1001"/>
        </w:numPr>
        <w:pStyle w:val="Compact"/>
      </w:pPr>
      <w:r>
        <w:rPr>
          <w:bCs/>
          <w:b/>
        </w:rPr>
        <w:t xml:space="preserve">Public-Private Partnerships (PPPs):</w:t>
      </w:r>
      <w:r>
        <w:t xml:space="preserve"> </w:t>
      </w:r>
      <w:r>
        <w:t xml:space="preserve">The government's $4.1B Abidjan Metro project has created ripple effects across commercial real estate</w:t>
      </w:r>
    </w:p>
    <w:p>
      <w:pPr>
        <w:numPr>
          <w:ilvl w:val="0"/>
          <w:numId w:val="1001"/>
        </w:numPr>
        <w:pStyle w:val="Compact"/>
      </w:pPr>
      <w:r>
        <w:rPr>
          <w:bCs/>
          <w:b/>
        </w:rPr>
        <w:t xml:space="preserve">Digital Transformation:</w:t>
      </w:r>
      <w:r>
        <w:t xml:space="preserve"> </w:t>
      </w:r>
      <w:r>
        <w:t xml:space="preserve">78% of new clients now demand BIM (Building Information Modeling) integration – a core competency of our Architect team</w:t>
      </w:r>
    </w:p>
    <w:bookmarkEnd w:id="21"/>
    <w:bookmarkStart w:id="24" w:name="Xb9c988466a01b064269877dd262eb39db5a8674"/>
    <w:p>
      <w:pPr>
        <w:pStyle w:val="Heading2"/>
      </w:pPr>
      <w:r>
        <w:t xml:space="preserve">III. Sales Performance Breakdown: Q3 2023 Results</w:t>
      </w:r>
    </w:p>
    <w:p>
      <w:pPr>
        <w:pStyle w:val="FirstParagraph"/>
      </w:pPr>
      <w:r>
        <w:t xml:space="preserve">Project Type</w:t>
      </w:r>
    </w:p>
    <w:p>
      <w:pPr>
        <w:pStyle w:val="BodyText"/>
      </w:pPr>
      <w:r>
        <w:t xml:space="preserve">Client Profile</w:t>
      </w:r>
    </w:p>
    <w:p>
      <w:pPr>
        <w:pStyle w:val="BodyText"/>
      </w:pPr>
      <w:r>
        <w:t xml:space="preserve">Contract Value (USD)</w:t>
      </w:r>
    </w:p>
    <w:p>
      <w:pPr>
        <w:pStyle w:val="BodyText"/>
      </w:pPr>
      <w:r>
        <w:t xml:space="preserve">Completion Timeline</w:t>
      </w:r>
    </w:p>
    <w:p>
      <w:pPr>
        <w:pStyle w:val="BodyText"/>
      </w:pPr>
      <w:r>
        <w:t xml:space="preserve">Sustainable Residential Complex</w:t>
      </w:r>
    </w:p>
    <w:p>
      <w:pPr>
        <w:pStyle w:val="BodyText"/>
      </w:pPr>
      <w:r>
        <w:t xml:space="preserve">Lagos Properties Group (Nigeria/Ivory Coast)</w:t>
      </w:r>
    </w:p>
    <w:p>
      <w:pPr>
        <w:pStyle w:val="BodyText"/>
      </w:pPr>
      <w:r>
        <w:t xml:space="preserve">$2.3M</w:t>
      </w:r>
    </w:p>
    <w:p>
      <w:pPr>
        <w:pStyle w:val="BodyText"/>
      </w:pPr>
      <w:r>
        <w:t xml:space="preserve">Q2 2024</w:t>
      </w:r>
    </w:p>
    <w:p>
      <w:pPr>
        <w:pStyle w:val="BodyText"/>
      </w:pPr>
      <w:r>
        <w:t xml:space="preserve">Green Commercial Hub</w:t>
      </w:r>
    </w:p>
    <w:p>
      <w:pPr>
        <w:pStyle w:val="BodyText"/>
      </w:pPr>
      <w:r>
        <w:t xml:space="preserve">Côte d'Ivoire Development Bank (CBDCI)</w:t>
      </w:r>
    </w:p>
    <w:bookmarkStart w:id="22" w:name="a.-key-sales-achievements"/>
    <w:p>
      <w:pPr>
        <w:pStyle w:val="Heading3"/>
      </w:pPr>
      <w:r>
        <w:t xml:space="preserve">A. Key Sales Achievements:</w:t>
      </w:r>
    </w:p>
    <w:p>
      <w:pPr>
        <w:pStyle w:val="FirstParagraph"/>
      </w:pPr>
      <w:r>
        <w:t xml:space="preserve">1. Secured landmark contract for the "Eco-Abidjan District" – 400-unit residential community with solar infrastructure, representing our largest single sale in Ivory Coast Abidjan history ($2.9M).</w:t>
      </w:r>
    </w:p>
    <w:p>
      <w:pPr>
        <w:pStyle w:val="BodyText"/>
      </w:pPr>
      <w:r>
        <w:t xml:space="preserve">2. Won exclusive Architect services for the new Agboville International Airport terminal expansion (projected $1.8M), positioning us as the sole firm with Côte d'Ivoire government accreditation for aviation infrastructure.</w:t>
      </w:r>
    </w:p>
    <w:p>
      <w:pPr>
        <w:pStyle w:val="BodyText"/>
      </w:pPr>
      <w:r>
        <w:t xml:space="preserve">3. Closed 7 contracts with emerging African real estate developers in Abidjan's Plateau district – a 40% increase from previous quarter – driven by our tailored "Ivory Coast Compliance Package" that simplifies local permitting.</w:t>
      </w:r>
    </w:p>
    <w:bookmarkEnd w:id="22"/>
    <w:bookmarkStart w:id="23" w:name="b.-sales-channel-analysis"/>
    <w:p>
      <w:pPr>
        <w:pStyle w:val="Heading3"/>
      </w:pPr>
      <w:r>
        <w:t xml:space="preserve">B. Sales Channel Analysis:</w:t>
      </w:r>
    </w:p>
    <w:p>
      <w:pPr>
        <w:pStyle w:val="FirstParagraph"/>
      </w:pPr>
      <w:r>
        <w:t xml:space="preserve">Our Architect team's direct sales approach to high-net-worth developers yielded 68% of Q3 revenue, while digital marketing campaigns (targeting construction firms in Abidjan via LinkedIn and local business portals) generated 22%. The remaining 10% came through strategic partnerships with Ivorian engineering firms – a model we'll expand in Q4.</w:t>
      </w:r>
    </w:p>
    <w:bookmarkEnd w:id="23"/>
    <w:bookmarkEnd w:id="24"/>
    <w:bookmarkStart w:id="25" w:name="Xa45787ff1ac2caefe662d6dc2e04ff4a9f9f638"/>
    <w:p>
      <w:pPr>
        <w:pStyle w:val="Heading2"/>
      </w:pPr>
      <w:r>
        <w:t xml:space="preserve">IV. Competitive Differentiation: Why Clients Choose Our Architect Services</w:t>
      </w:r>
    </w:p>
    <w:p>
      <w:pPr>
        <w:pStyle w:val="FirstParagraph"/>
      </w:pPr>
      <w:r>
        <w:t xml:space="preserve">While multiple Architect firms operate in Ivory Coast Abidjan, our competitive edge lies in three pillars:</w:t>
      </w:r>
    </w:p>
    <w:p>
      <w:pPr>
        <w:numPr>
          <w:ilvl w:val="0"/>
          <w:numId w:val="1002"/>
        </w:numPr>
        <w:pStyle w:val="Compact"/>
      </w:pPr>
      <w:r>
        <w:rPr>
          <w:bCs/>
          <w:b/>
        </w:rPr>
        <w:t xml:space="preserve">Regulatory Expertise:</w:t>
      </w:r>
      <w:r>
        <w:t xml:space="preserve"> </w:t>
      </w:r>
      <w:r>
        <w:t xml:space="preserve">Our team includes ex-ministry of infrastructure officials who navigate Ivory Coast's complex approval processes (average 8.2 months), reducing client project timelines by 35%.</w:t>
      </w:r>
    </w:p>
    <w:p>
      <w:pPr>
        <w:numPr>
          <w:ilvl w:val="0"/>
          <w:numId w:val="1002"/>
        </w:numPr>
        <w:pStyle w:val="Compact"/>
      </w:pPr>
      <w:r>
        <w:rPr>
          <w:bCs/>
          <w:b/>
        </w:rPr>
        <w:t xml:space="preserve">Cultural Intelligence:</w:t>
      </w:r>
      <w:r>
        <w:t xml:space="preserve"> </w:t>
      </w:r>
      <w:r>
        <w:t xml:space="preserve">We design for local lifestyles – e.g., integrating open-air courtyards in residential projects to address Abidjan's humid climate and communal living traditions.</w:t>
      </w:r>
    </w:p>
    <w:p>
      <w:pPr>
        <w:numPr>
          <w:ilvl w:val="0"/>
          <w:numId w:val="1002"/>
        </w:numPr>
        <w:pStyle w:val="Compact"/>
      </w:pPr>
      <w:r>
        <w:rPr>
          <w:bCs/>
          <w:b/>
        </w:rPr>
        <w:t xml:space="preserve">Sustainability Credentials:</w:t>
      </w:r>
      <w:r>
        <w:t xml:space="preserve"> </w:t>
      </w:r>
      <w:r>
        <w:t xml:space="preserve">Our LEED-certified Architect team delivered 100% of Q3 projects with energy-efficient systems, directly aligning with Ivory Coast's national carbon neutrality goals by 2045.</w:t>
      </w:r>
    </w:p>
    <w:bookmarkEnd w:id="25"/>
    <w:bookmarkStart w:id="26" w:name="Xaaa8ac969731aae2266fb4ff6c120ce016d02ad"/>
    <w:p>
      <w:pPr>
        <w:pStyle w:val="Heading2"/>
      </w:pPr>
      <w:r>
        <w:t xml:space="preserve">V. Challenges &amp; Market Risks in Ivory Coast Abidjan</w:t>
      </w:r>
    </w:p>
    <w:p>
      <w:pPr>
        <w:pStyle w:val="FirstParagraph"/>
      </w:pPr>
      <w:r>
        <w:t xml:space="preserve">Despite strong growth, the Sales Report identifies critical challenges requiring immediate Architect strategic adjustments:</w:t>
      </w:r>
    </w:p>
    <w:p>
      <w:pPr>
        <w:numPr>
          <w:ilvl w:val="0"/>
          <w:numId w:val="1003"/>
        </w:numPr>
        <w:pStyle w:val="Compact"/>
      </w:pPr>
      <w:r>
        <w:rPr>
          <w:bCs/>
          <w:b/>
        </w:rPr>
        <w:t xml:space="preserve">Material Cost Volatility:</w:t>
      </w:r>
      <w:r>
        <w:t xml:space="preserve"> </w:t>
      </w:r>
      <w:r>
        <w:t xml:space="preserve">Cement prices rose 15% in Q3 due to port congestion at Abidjan's Vridi Canal – necessitating value-engineered design solutions.</w:t>
      </w:r>
    </w:p>
    <w:p>
      <w:pPr>
        <w:numPr>
          <w:ilvl w:val="0"/>
          <w:numId w:val="1003"/>
        </w:numPr>
        <w:pStyle w:val="Compact"/>
      </w:pPr>
      <w:r>
        <w:rPr>
          <w:bCs/>
          <w:b/>
        </w:rPr>
        <w:t xml:space="preserve">Talent Acquisition:</w:t>
      </w:r>
      <w:r>
        <w:t xml:space="preserve"> </w:t>
      </w:r>
      <w:r>
        <w:t xml:space="preserve">Shortage of BIM-certified junior Architects in Ivory Coast Abidjan forces us to train 60% of new hires locally.</w:t>
      </w:r>
    </w:p>
    <w:p>
      <w:pPr>
        <w:numPr>
          <w:ilvl w:val="0"/>
          <w:numId w:val="1003"/>
        </w:numPr>
        <w:pStyle w:val="Compact"/>
      </w:pPr>
      <w:r>
        <w:rPr>
          <w:bCs/>
          <w:b/>
        </w:rPr>
        <w:t xml:space="preserve">Currency Fluctuations:</w:t>
      </w:r>
      <w:r>
        <w:t xml:space="preserve"> </w:t>
      </w:r>
      <w:r>
        <w:t xml:space="preserve">The CFA franc's 4.2% depreciation against USD impacts project profitability for foreign investors.</w:t>
      </w:r>
    </w:p>
    <w:bookmarkEnd w:id="26"/>
    <w:bookmarkStart w:id="27" w:name="X95f224275815d6d5a9696218bba12b73950575c"/>
    <w:p>
      <w:pPr>
        <w:pStyle w:val="Heading2"/>
      </w:pPr>
      <w:r>
        <w:t xml:space="preserve">VI. Strategic Recommendations: Future Sales Growth in Abidjan</w:t>
      </w:r>
    </w:p>
    <w:p>
      <w:pPr>
        <w:pStyle w:val="FirstParagraph"/>
      </w:pPr>
      <w:r>
        <w:t xml:space="preserve">This Sales Report concludes with actionable strategies to maintain leadership as the premier Architect firm in Ivory Coast Abidjan:</w:t>
      </w:r>
    </w:p>
    <w:p>
      <w:pPr>
        <w:numPr>
          <w:ilvl w:val="0"/>
          <w:numId w:val="1004"/>
        </w:numPr>
        <w:pStyle w:val="Compact"/>
      </w:pPr>
      <w:r>
        <w:rPr>
          <w:bCs/>
          <w:b/>
        </w:rPr>
        <w:t xml:space="preserve">Launch "Abidjan Sustainability Certification" for our projects</w:t>
      </w:r>
      <w:r>
        <w:t xml:space="preserve"> </w:t>
      </w:r>
      <w:r>
        <w:t xml:space="preserve">– A proprietary framework that exceeds local building codes, creating premium pricing opportunities.</w:t>
      </w:r>
    </w:p>
    <w:p>
      <w:pPr>
        <w:numPr>
          <w:ilvl w:val="0"/>
          <w:numId w:val="1004"/>
        </w:numPr>
        <w:pStyle w:val="Compact"/>
      </w:pPr>
      <w:r>
        <w:rPr>
          <w:bCs/>
          <w:b/>
        </w:rPr>
        <w:t xml:space="preserve">Develop a dedicated digital portal for Ivorian developers</w:t>
      </w:r>
      <w:r>
        <w:t xml:space="preserve"> </w:t>
      </w:r>
      <w:r>
        <w:t xml:space="preserve">featuring real-time regulatory updates and virtual site visits – targeting 30% of new sales by Q1 2024.</w:t>
      </w:r>
    </w:p>
    <w:p>
      <w:pPr>
        <w:numPr>
          <w:ilvl w:val="0"/>
          <w:numId w:val="1004"/>
        </w:numPr>
        <w:pStyle w:val="Compact"/>
      </w:pPr>
      <w:r>
        <w:rPr>
          <w:bCs/>
          <w:b/>
        </w:rPr>
        <w:t xml:space="preserve">Establish partnerships with French architectural firms</w:t>
      </w:r>
      <w:r>
        <w:t xml:space="preserve"> </w:t>
      </w:r>
      <w:r>
        <w:t xml:space="preserve">to leverage their infrastructure expertise while maintaining our local market dominance in Ivory Coast Abidjan.</w:t>
      </w:r>
    </w:p>
    <w:p>
      <w:pPr>
        <w:numPr>
          <w:ilvl w:val="0"/>
          <w:numId w:val="1004"/>
        </w:numPr>
        <w:pStyle w:val="Compact"/>
      </w:pPr>
      <w:r>
        <w:rPr>
          <w:bCs/>
          <w:b/>
        </w:rPr>
        <w:t xml:space="preserve">Invest in vocational training at Abidjan's Ecole Nationale d'Architecture</w:t>
      </w:r>
      <w:r>
        <w:t xml:space="preserve"> </w:t>
      </w:r>
      <w:r>
        <w:t xml:space="preserve">to address the talent pipeline gap and ensure long-term Architect capability.</w:t>
      </w:r>
    </w:p>
    <w:bookmarkEnd w:id="27"/>
    <w:bookmarkStart w:id="28" w:name="Xf9378845de3aee6050eefebf51c994e6632b4a7"/>
    <w:p>
      <w:pPr>
        <w:pStyle w:val="Heading2"/>
      </w:pPr>
      <w:r>
        <w:t xml:space="preserve">VII. Conclusion: The Architect as Economic Catalyst</w:t>
      </w:r>
    </w:p>
    <w:p>
      <w:pPr>
        <w:pStyle w:val="FirstParagraph"/>
      </w:pPr>
      <w:r>
        <w:t xml:space="preserve">The data presented in this Sales Report confirms that our Architect practice is not merely delivering designs – we are architecting Ivory Coast's urban transformation. With Abidjan projected to absorb $18.4B in construction investment through 2026, our firm has positioned itself at the epicenter of this growth engine. The 22% sales increase this quarter demonstrates how deeply our Architect approach resonates with clients seeking both compliance and innovation in the Ivory Coast Abidjan market. As we move into Q4, every project win further cements our status as the indispensable partner for developers building tomorrow's Abidjan today.</w:t>
      </w:r>
    </w:p>
    <w:p>
      <w:pPr>
        <w:pStyle w:val="BodyText"/>
      </w:pPr>
      <w:r>
        <w:t xml:space="preserve">Final Note: This Sales Report underscores a fundamental truth – in Ivory Coast Abidjan's rapidly evolving landscape, the role of the Architect transcends aesthetics. It is strategic economic facilitation. Our ability to translate regulatory requirements into compelling built environments is why developers choose our Architect services over competitors. The future belongs to those who understand that architectural excellence drives sustainable economic progress.</w:t>
      </w:r>
    </w:p>
    <w:p>
      <w:pPr>
        <w:pStyle w:val="BodyText"/>
      </w:pPr>
      <w:r>
        <w:rPr>
          <w:bCs/>
          <w:b/>
        </w:rPr>
        <w:t xml:space="preserve">Appendix A: Project Timeline Visualization</w:t>
      </w:r>
      <w:r>
        <w:t xml:space="preserve"> </w:t>
      </w:r>
      <w:r>
        <w:t xml:space="preserve">(Available Upon Request)</w:t>
      </w:r>
    </w:p>
    <w:p>
      <w:pPr>
        <w:pStyle w:val="BodyText"/>
      </w:pPr>
      <w:r>
        <w:rPr>
          <w:bCs/>
          <w:b/>
        </w:rPr>
        <w:t xml:space="preserve">Appendix B: Client Satisfaction Survey Results</w:t>
      </w:r>
      <w:r>
        <w:t xml:space="preserve"> </w:t>
      </w:r>
      <w:r>
        <w:t xml:space="preserve">(94% retention rate among Q3 clients)</w:t>
      </w:r>
    </w:p>
    <w:p>
      <w:r>
        <w:pict>
          <v:rect style="width:0;height:1.5pt" o:hralign="center" o:hrstd="t" o:hr="t"/>
        </w:pict>
      </w:r>
    </w:p>
    <w:p>
      <w:pPr>
        <w:pStyle w:val="FirstParagraph"/>
      </w:pPr>
      <w:r>
        <w:t xml:space="preserve">Abidjan Design Collective | 15 Rue des Écoles, Plateau, Abidjan, Côte d'Ivoire</w:t>
      </w:r>
      <w:r>
        <w:br/>
      </w:r>
      <w:r>
        <w:t xml:space="preserve">"Shaping Ivory Coast's Built Future" | Sales Report Q3 2023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Report: Ivory Coast Abidjan Market Analysis</dc:title>
  <dc:creator/>
  <dc:language>en</dc:language>
  <cp:keywords/>
  <dcterms:created xsi:type="dcterms:W3CDTF">2026-07-22T19:48:30Z</dcterms:created>
  <dcterms:modified xsi:type="dcterms:W3CDTF">2026-07-22T19:48:30Z</dcterms:modified>
</cp:coreProperties>
</file>

<file path=docProps/custom.xml><?xml version="1.0" encoding="utf-8"?>
<Properties xmlns="http://schemas.openxmlformats.org/officeDocument/2006/custom-properties" xmlns:vt="http://schemas.openxmlformats.org/officeDocument/2006/docPropsVTypes"/>
</file>