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Market</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6" w:name="Xe9aef779cfe3e887afe16c4ef84b750d28d3049"/>
    <w:p>
      <w:pPr>
        <w:pStyle w:val="Heading1"/>
      </w:pPr>
      <w:r>
        <w:t xml:space="preserve">Sales Report: Architectural Services Market Performance in Kazakhstan Almaty</w:t>
      </w:r>
    </w:p>
    <w:p>
      <w:pPr>
        <w:pStyle w:val="FirstParagraph"/>
      </w:pPr>
      <w:r>
        <w:t xml:space="preserve">This comprehensive Sales Report details the performance, market dynamics, and strategic outlook for architectural services within the Kazakhstani metropolis of Almaty. As the economic and cultural hub of Kazakhstan, Almaty represents a critical market for premium architectural solutions. This document analyzes recent sales trends, client engagement strategies, regional challenges specific to Kazakhstan Almaty, and forward-looking opportunities for firms positioning themselves as industry-leading</w:t>
      </w:r>
      <w:r>
        <w:t xml:space="preserve"> </w:t>
      </w:r>
      <w:r>
        <w:rPr>
          <w:iCs/>
          <w:i/>
        </w:rPr>
        <w:t xml:space="preserve">Architect</w:t>
      </w:r>
      <w:r>
        <w:t xml:space="preserve"> </w:t>
      </w:r>
      <w:r>
        <w:t xml:space="preserve">service providers.</w:t>
      </w:r>
    </w:p>
    <w:bookmarkStart w:id="20" w:name="X076c9955fbb2707df5d04e5826b05c1aa3f2800"/>
    <w:p>
      <w:pPr>
        <w:pStyle w:val="Heading2"/>
      </w:pPr>
      <w:r>
        <w:t xml:space="preserve">Executive Summary: Market Positioning in Kazakhstan Almaty</w:t>
      </w:r>
    </w:p>
    <w:p>
      <w:pPr>
        <w:pStyle w:val="FirstParagraph"/>
      </w:pPr>
      <w:r>
        <w:t xml:space="preserve">The architectural services sector in Kazakhstan Almaty has demonstrated robust growth, with a 17% year-over-year increase in commercial project commissions as of Q3 2023. This expansion directly correlates with Almaty's status as the nation's premier business center and its role as a focal point for Kazakhstan's urban development initiatives. Our firm’s strategic focus on delivering culturally sensitive, technically precise</w:t>
      </w:r>
      <w:r>
        <w:t xml:space="preserve"> </w:t>
      </w:r>
      <w:r>
        <w:rPr>
          <w:iCs/>
          <w:i/>
        </w:rPr>
        <w:t xml:space="preserve">Architect</w:t>
      </w:r>
      <w:r>
        <w:t xml:space="preserve"> </w:t>
      </w:r>
      <w:r>
        <w:t xml:space="preserve">solutions has positioned us at the forefront of this market. Key drivers include government infrastructure investments under "Nurly Zhol" economic corridors, rising demand for sustainable commercial spaces in Almaty's central business district (CBD), and a growing middle class seeking high-quality residential design. This report confirms that successful</w:t>
      </w:r>
      <w:r>
        <w:t xml:space="preserve"> </w:t>
      </w:r>
      <w:r>
        <w:rPr>
          <w:iCs/>
          <w:i/>
        </w:rPr>
        <w:t xml:space="preserve">Architect</w:t>
      </w:r>
      <w:r>
        <w:t xml:space="preserve"> </w:t>
      </w:r>
      <w:r>
        <w:t xml:space="preserve">engagement in Kazakhstan Almaty requires deep local market understanding beyond standard international practices.</w:t>
      </w:r>
    </w:p>
    <w:bookmarkEnd w:id="20"/>
    <w:bookmarkStart w:id="21" w:name="X30c5e1729f27065ef94326d8ce92b5f19cc1dc8"/>
    <w:p>
      <w:pPr>
        <w:pStyle w:val="Heading2"/>
      </w:pPr>
      <w:r>
        <w:t xml:space="preserve">Quarterly Sales Performance: Key Metrics for Kazakhstan Almaty</w:t>
      </w:r>
    </w:p>
    <w:p>
      <w:pPr>
        <w:pStyle w:val="FirstParagraph"/>
      </w:pPr>
      <w:r>
        <w:t xml:space="preserve">Project Type</w:t>
      </w:r>
    </w:p>
    <w:p>
      <w:pPr>
        <w:pStyle w:val="BodyText"/>
      </w:pPr>
      <w:r>
        <w:t xml:space="preserve">Q3 2023 Commissions (KZT)</w:t>
      </w:r>
    </w:p>
    <w:p>
      <w:pPr>
        <w:pStyle w:val="BodyText"/>
      </w:pPr>
      <w:r>
        <w:t xml:space="preserve">% Growth vs Q3 2022</w:t>
      </w:r>
    </w:p>
    <w:p>
      <w:pPr>
        <w:pStyle w:val="BodyText"/>
      </w:pPr>
      <w:r>
        <w:t xml:space="preserve">Key Client in Kazakhstan Almaty</w:t>
      </w:r>
    </w:p>
    <w:p>
      <w:pPr>
        <w:pStyle w:val="BodyText"/>
      </w:pPr>
      <w:r>
        <w:t xml:space="preserve">Sustainable Commercial Buildings</w:t>
      </w:r>
    </w:p>
    <w:p>
      <w:pPr>
        <w:pStyle w:val="BodyText"/>
      </w:pPr>
      <w:r>
        <w:t xml:space="preserve">14,850,000</w:t>
      </w:r>
    </w:p>
    <w:p>
      <w:pPr>
        <w:pStyle w:val="BodyText"/>
      </w:pPr>
      <w:r>
        <w:t xml:space="preserve">+23%</w:t>
      </w:r>
    </w:p>
    <w:p>
      <w:pPr>
        <w:pStyle w:val="BodyText"/>
      </w:pPr>
      <w:r>
        <w:t xml:space="preserve">Kazakhstani Financial Group (Almaty CBD)</w:t>
      </w:r>
    </w:p>
    <w:p>
      <w:pPr>
        <w:pStyle w:val="BodyText"/>
      </w:pPr>
      <w:r>
        <w:t xml:space="preserve">Residential High-Rise Complexes</w:t>
      </w:r>
    </w:p>
    <w:p>
      <w:pPr>
        <w:pStyle w:val="BodyText"/>
      </w:pPr>
      <w:r>
        <w:t xml:space="preserve">9,725,000</w:t>
      </w:r>
    </w:p>
    <w:p>
      <w:pPr>
        <w:pStyle w:val="BodyText"/>
      </w:pPr>
      <w:r>
        <w:t xml:space="preserve">+15%</w:t>
      </w:r>
    </w:p>
    <w:p>
      <w:pPr>
        <w:pStyle w:val="BodyText"/>
      </w:pPr>
      <w:r>
        <w:t xml:space="preserve">Altyn Shash Residential Developer (Almaty East)</w:t>
      </w:r>
    </w:p>
    <w:p>
      <w:pPr>
        <w:pStyle w:val="BodyText"/>
      </w:pPr>
      <w:r>
        <w:t xml:space="preserve">Heritage Restoration Projects</w:t>
      </w:r>
    </w:p>
    <w:p>
      <w:pPr>
        <w:pStyle w:val="BodyText"/>
      </w:pPr>
      <w:r>
        <w:t xml:space="preserve">3,480,000</w:t>
      </w:r>
    </w:p>
    <w:p>
      <w:pPr>
        <w:pStyle w:val="BodyText"/>
      </w:pPr>
      <w:r>
        <w:t xml:space="preserve">+31%</w:t>
      </w:r>
    </w:p>
    <w:p>
      <w:pPr>
        <w:pStyle w:val="BodyText"/>
      </w:pPr>
      <w:r>
        <w:t xml:space="preserve">The data underscores Almaty's distinct market preferences. Sustainable design and heritage integration are non-negotiables for clients in Kazakhstan Almaty, reflecting both regulatory shifts and cultural priorities. Notably, the 23% growth in commercial projects stems from a new government mandate requiring all major public-private developments in Almaty to achieve at least LEED Gold certification – a trend our</w:t>
      </w:r>
      <w:r>
        <w:t xml:space="preserve"> </w:t>
      </w:r>
      <w:r>
        <w:rPr>
          <w:iCs/>
          <w:i/>
        </w:rPr>
        <w:t xml:space="preserve">Architect</w:t>
      </w:r>
      <w:r>
        <w:t xml:space="preserve"> </w:t>
      </w:r>
      <w:r>
        <w:t xml:space="preserve">team has proactively addressed through specialized training.</w:t>
      </w:r>
    </w:p>
    <w:bookmarkEnd w:id="21"/>
    <w:bookmarkStart w:id="22" w:name="X938fc0c58f2252114ee4eb05ee6e8b833bc774b"/>
    <w:p>
      <w:pPr>
        <w:pStyle w:val="Heading2"/>
      </w:pPr>
      <w:r>
        <w:t xml:space="preserve">Client Success Story: Transforming Kazakhstan Almaty's Urban Landscape</w:t>
      </w:r>
    </w:p>
    <w:p>
      <w:pPr>
        <w:pStyle w:val="FirstParagraph"/>
      </w:pPr>
      <w:r>
        <w:t xml:space="preserve">A flagship project exemplifying our strategic approach is the "Nur-Sultan Plaza" redevelopment in central Almaty. As the lead</w:t>
      </w:r>
      <w:r>
        <w:t xml:space="preserve"> </w:t>
      </w:r>
      <w:r>
        <w:rPr>
          <w:iCs/>
          <w:i/>
        </w:rPr>
        <w:t xml:space="preserve">Architect</w:t>
      </w:r>
      <w:r>
        <w:t xml:space="preserve">, our team navigated complex challenges including seismic regulations, integration with historic Kazakh architecture elements, and alignment with Kazakhstan's national "Green City" initiative. The result was a 500-unit mixed-use complex featuring solar-integrated facades and culturally resonant interior motifs – completing 3 months ahead of schedule. This project secured a follow-up contract for three additional residential towers in Almaty's emerging Auezov district, demonstrating how localized</w:t>
      </w:r>
      <w:r>
        <w:t xml:space="preserve"> </w:t>
      </w:r>
      <w:r>
        <w:rPr>
          <w:iCs/>
          <w:i/>
        </w:rPr>
        <w:t xml:space="preserve">Architect</w:t>
      </w:r>
      <w:r>
        <w:t xml:space="preserve"> </w:t>
      </w:r>
      <w:r>
        <w:t xml:space="preserve">expertise directly drives client loyalty in Kazakhstan Almaty.</w:t>
      </w:r>
    </w:p>
    <w:bookmarkEnd w:id="22"/>
    <w:bookmarkStart w:id="23" w:name="X4fe5beb471a130c4f245bd17c4effc00e1d84a8"/>
    <w:p>
      <w:pPr>
        <w:pStyle w:val="Heading2"/>
      </w:pPr>
      <w:r>
        <w:t xml:space="preserve">Market Challenges Specific to Kazakhstan Almaty</w:t>
      </w:r>
    </w:p>
    <w:p>
      <w:pPr>
        <w:pStyle w:val="FirstParagraph"/>
      </w:pPr>
      <w:r>
        <w:t xml:space="preserve">Selling architectural services in Kazakhstan Almaty presents unique hurdles that demand tailored strategies:</w:t>
      </w:r>
    </w:p>
    <w:p>
      <w:pPr>
        <w:numPr>
          <w:ilvl w:val="0"/>
          <w:numId w:val="1001"/>
        </w:numPr>
        <w:pStyle w:val="Compact"/>
      </w:pPr>
      <w:r>
        <w:rPr>
          <w:bCs/>
          <w:b/>
        </w:rPr>
        <w:t xml:space="preserve">Regulatory Navigation:</w:t>
      </w:r>
      <w:r>
        <w:t xml:space="preserve"> </w:t>
      </w:r>
      <w:r>
        <w:t xml:space="preserve">Compliance with Kazakhstani GOST standards and local zoning laws requires dedicated on-site regulatory expertise. Our Almaty office maintains a direct liaison with the Department of Urban Planning to preempt permit delays.</w:t>
      </w:r>
    </w:p>
    <w:p>
      <w:pPr>
        <w:numPr>
          <w:ilvl w:val="0"/>
          <w:numId w:val="1001"/>
        </w:numPr>
        <w:pStyle w:val="Compact"/>
      </w:pPr>
      <w:r>
        <w:rPr>
          <w:bCs/>
          <w:b/>
        </w:rPr>
        <w:t xml:space="preserve">Cultural Nuance:</w:t>
      </w:r>
      <w:r>
        <w:t xml:space="preserve"> </w:t>
      </w:r>
      <w:r>
        <w:t xml:space="preserve">Clients expect</w:t>
      </w:r>
      <w:r>
        <w:t xml:space="preserve"> </w:t>
      </w:r>
      <w:r>
        <w:rPr>
          <w:iCs/>
          <w:i/>
        </w:rPr>
        <w:t xml:space="preserve">Architect</w:t>
      </w:r>
      <w:r>
        <w:t xml:space="preserve"> </w:t>
      </w:r>
      <w:r>
        <w:t xml:space="preserve">proposals that acknowledge Kazakh traditions (e.g., use of local materials like "kazak" wood patterns in modern structures) – a requirement absent in Western markets.</w:t>
      </w:r>
    </w:p>
    <w:p>
      <w:pPr>
        <w:numPr>
          <w:ilvl w:val="0"/>
          <w:numId w:val="1001"/>
        </w:numPr>
        <w:pStyle w:val="Compact"/>
      </w:pPr>
      <w:r>
        <w:rPr>
          <w:bCs/>
          <w:b/>
        </w:rPr>
        <w:t xml:space="preserve">Economic Volatility:</w:t>
      </w:r>
      <w:r>
        <w:t xml:space="preserve"> </w:t>
      </w:r>
      <w:r>
        <w:t xml:space="preserve">Fluctuations in oil prices impact construction budgets. Our sales team employs dynamic pricing models tailored to Almaty's economic cycles, offering phased project delivery during downturns.</w:t>
      </w:r>
    </w:p>
    <w:p>
      <w:pPr>
        <w:numPr>
          <w:ilvl w:val="0"/>
          <w:numId w:val="1001"/>
        </w:numPr>
        <w:pStyle w:val="Compact"/>
      </w:pPr>
      <w:r>
        <w:rPr>
          <w:bCs/>
          <w:b/>
        </w:rPr>
        <w:t xml:space="preserve">Talent Acquisition:</w:t>
      </w:r>
      <w:r>
        <w:t xml:space="preserve"> </w:t>
      </w:r>
      <w:r>
        <w:t xml:space="preserve">Attracting certified local architects with international experience remains challenging. We've partnered with Almaty Polytechnic University to develop a dedicated training pipeline for our Kazakhstan-based</w:t>
      </w:r>
      <w:r>
        <w:t xml:space="preserve"> </w:t>
      </w:r>
      <w:r>
        <w:rPr>
          <w:iCs/>
          <w:i/>
        </w:rPr>
        <w:t xml:space="preserve">Architect</w:t>
      </w:r>
      <w:r>
        <w:t xml:space="preserve"> </w:t>
      </w:r>
      <w:r>
        <w:t xml:space="preserve">teams.</w:t>
      </w:r>
    </w:p>
    <w:bookmarkEnd w:id="23"/>
    <w:bookmarkStart w:id="24" w:name="Xdf88ab39962c6f83b1846b85278c5c9a846faf6"/>
    <w:p>
      <w:pPr>
        <w:pStyle w:val="Heading2"/>
      </w:pPr>
      <w:r>
        <w:t xml:space="preserve">Growth Opportunities: Focusing on Kazakhstan's Almaty Ecosystem</w:t>
      </w:r>
    </w:p>
    <w:p>
      <w:pPr>
        <w:pStyle w:val="FirstParagraph"/>
      </w:pPr>
      <w:r>
        <w:t xml:space="preserve">Strategic investments targeting the following areas will accelerate market share in Almaty:</w:t>
      </w:r>
    </w:p>
    <w:p>
      <w:pPr>
        <w:numPr>
          <w:ilvl w:val="0"/>
          <w:numId w:val="1002"/>
        </w:numPr>
        <w:pStyle w:val="Compact"/>
      </w:pPr>
      <w:r>
        <w:rPr>
          <w:bCs/>
          <w:b/>
        </w:rPr>
        <w:t xml:space="preserve">Technology Integration:</w:t>
      </w:r>
      <w:r>
        <w:t xml:space="preserve"> </w:t>
      </w:r>
      <w:r>
        <w:t xml:space="preserve">Developing AI-driven tools for climate adaptation (critical for Kazakhstan's extreme seasonal shifts) to offer as a premium service to Almaty developers.</w:t>
      </w:r>
    </w:p>
    <w:p>
      <w:pPr>
        <w:numPr>
          <w:ilvl w:val="0"/>
          <w:numId w:val="1002"/>
        </w:numPr>
        <w:pStyle w:val="Compact"/>
      </w:pPr>
      <w:r>
        <w:rPr>
          <w:bCs/>
          <w:b/>
        </w:rPr>
        <w:t xml:space="preserve">Sustainable Certification Partnerships:</w:t>
      </w:r>
      <w:r>
        <w:t xml:space="preserve"> </w:t>
      </w:r>
      <w:r>
        <w:t xml:space="preserve">Formalizing agreements with Kazakhstan Green Building Council to fast-track LEED/GBR certifications – a key differentiator in Almaty's competitive market.</w:t>
      </w:r>
    </w:p>
    <w:p>
      <w:pPr>
        <w:numPr>
          <w:ilvl w:val="0"/>
          <w:numId w:val="1002"/>
        </w:numPr>
        <w:pStyle w:val="Compact"/>
      </w:pPr>
      <w:r>
        <w:rPr>
          <w:bCs/>
          <w:b/>
        </w:rPr>
        <w:t xml:space="preserve">Community-Driven Projects:</w:t>
      </w:r>
      <w:r>
        <w:t xml:space="preserve"> </w:t>
      </w:r>
      <w:r>
        <w:t xml:space="preserve">Partnering with Almaty's municipal government on public spaces (e.g., the "Alma-Ata Park Revival") where</w:t>
      </w:r>
      <w:r>
        <w:t xml:space="preserve"> </w:t>
      </w:r>
      <w:r>
        <w:rPr>
          <w:iCs/>
          <w:i/>
        </w:rPr>
        <w:t xml:space="preserve">Architect</w:t>
      </w:r>
      <w:r>
        <w:t xml:space="preserve">-led community engagement is mandatory for approval.</w:t>
      </w:r>
    </w:p>
    <w:bookmarkEnd w:id="24"/>
    <w:bookmarkStart w:id="25" w:name="X6bb6f7627acae5f20f1a00f05aa28ca03cec778"/>
    <w:p>
      <w:pPr>
        <w:pStyle w:val="Heading2"/>
      </w:pPr>
      <w:r>
        <w:t xml:space="preserve">Strategic Outlook: Leading as Architect Service Providers in Kazakhstan Almaty</w:t>
      </w:r>
    </w:p>
    <w:p>
      <w:pPr>
        <w:pStyle w:val="FirstParagraph"/>
      </w:pPr>
      <w:r>
        <w:t xml:space="preserve">The trajectory for architectural services in Kazakhstan Almaty is exceptionally promising. With urbanization rates exceeding 65% and government spending on construction projected to reach $12 billion annually by 2025, demand for specialized</w:t>
      </w:r>
      <w:r>
        <w:t xml:space="preserve"> </w:t>
      </w:r>
      <w:r>
        <w:rPr>
          <w:iCs/>
          <w:i/>
        </w:rPr>
        <w:t xml:space="preserve">Architect</w:t>
      </w:r>
      <w:r>
        <w:t xml:space="preserve"> </w:t>
      </w:r>
      <w:r>
        <w:t xml:space="preserve">expertise will intensify. Our competitive edge lies in embedding our firm within Almaty's socio-economic fabric – not merely as external consultants but as trusted partners who understand the nuances of Kazakhstan's built environment.</w:t>
      </w:r>
    </w:p>
    <w:p>
      <w:pPr>
        <w:pStyle w:val="BodyText"/>
      </w:pPr>
      <w:r>
        <w:t xml:space="preserve">Looking ahead, we will prioritize three pillars: deepening Kazakh language capabilities within our Almaty</w:t>
      </w:r>
      <w:r>
        <w:t xml:space="preserve"> </w:t>
      </w:r>
      <w:r>
        <w:rPr>
          <w:iCs/>
          <w:i/>
        </w:rPr>
        <w:t xml:space="preserve">Architect</w:t>
      </w:r>
      <w:r>
        <w:t xml:space="preserve"> </w:t>
      </w:r>
      <w:r>
        <w:t xml:space="preserve">teams (now at 85% proficiency), expanding our portfolio to include smart-city infrastructure for Almaty's new transport corridors, and establishing a dedicated Kazakhstan cultural sensitivity training module for all international project leads. These initiatives directly address the market's most pressing need:</w:t>
      </w:r>
      <w:r>
        <w:t xml:space="preserve"> </w:t>
      </w:r>
      <w:r>
        <w:rPr>
          <w:iCs/>
          <w:i/>
        </w:rPr>
        <w:t xml:space="preserve">Architect</w:t>
      </w:r>
      <w:r>
        <w:t xml:space="preserve"> </w:t>
      </w:r>
      <w:r>
        <w:t xml:space="preserve">firms that don't just design buildings but understand how to build within Kazakhstan Almaty's unique context.</w:t>
      </w:r>
    </w:p>
    <w:p>
      <w:pPr>
        <w:pStyle w:val="BodyText"/>
      </w:pPr>
      <w:r>
        <w:t xml:space="preserve">In conclusion, this Sales Report affirms that success in Kazakhstan Almaty requires moving beyond transactional service delivery. The most successful</w:t>
      </w:r>
      <w:r>
        <w:t xml:space="preserve"> </w:t>
      </w:r>
      <w:r>
        <w:rPr>
          <w:iCs/>
          <w:i/>
        </w:rPr>
        <w:t xml:space="preserve">Architect</w:t>
      </w:r>
      <w:r>
        <w:t xml:space="preserve"> </w:t>
      </w:r>
      <w:r>
        <w:t xml:space="preserve">practices will be those deeply rooted in local knowledge – recognizing that every blueprint must resonate with the cultural heartbeat of Almaty and align with Kazakhstan's national vision for sustainable urban growth. Our firm is committed to being the benchmark for this integrated approach, ensuring our Sales Report reflects not just past performance but a clear pathway toward becoming Kazakhstan Almaty's most trusted architectural partner.</w:t>
      </w:r>
    </w:p>
    <w:p>
      <w:pPr>
        <w:pStyle w:val="BodyText"/>
      </w:pPr>
      <w:r>
        <w:rPr>
          <w:iCs/>
          <w:i/>
        </w:rPr>
        <w:t xml:space="preserve">Prepared by: Global Architecture Solutions - Kazakhstan Division</w:t>
      </w:r>
    </w:p>
    <w:p>
      <w:pPr>
        <w:pStyle w:val="BodyText"/>
      </w:pPr>
      <w:r>
        <w:rPr>
          <w:iCs/>
          <w:i/>
        </w:rPr>
        <w:t xml:space="preserve">Date: October 26, 2023 | Region: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Market Performance in Kazakhstan Almaty</dc:title>
  <dc:creator/>
  <dc:language>en</dc:language>
  <cp:keywords/>
  <dcterms:created xsi:type="dcterms:W3CDTF">2025-12-11T14:30:58Z</dcterms:created>
  <dcterms:modified xsi:type="dcterms:W3CDTF">2025-12-11T14:30:58Z</dcterms:modified>
</cp:coreProperties>
</file>

<file path=docProps/custom.xml><?xml version="1.0" encoding="utf-8"?>
<Properties xmlns="http://schemas.openxmlformats.org/officeDocument/2006/custom-properties" xmlns:vt="http://schemas.openxmlformats.org/officeDocument/2006/docPropsVTypes"/>
</file>