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Analysis</w:t>
      </w:r>
    </w:p>
    <w:bookmarkStart w:id="27" w:name="X2cfa79ebeb6985c245b7441bc4c9e97c5d1953c"/>
    <w:p>
      <w:pPr>
        <w:pStyle w:val="Heading1"/>
      </w:pPr>
      <w:r>
        <w:t xml:space="preserve">Professional Architect Sales Performance Report: Kuala Lumpur, Malaysia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Malaysian Architectural Association</w:t>
      </w:r>
      <w:r>
        <w:br/>
      </w:r>
      <w:r>
        <w:rPr>
          <w:bCs/>
          <w:b/>
        </w:rPr>
        <w:t xml:space="preserve">Prepared By:</w:t>
      </w:r>
      <w:r>
        <w:t xml:space="preserve"> </w:t>
      </w:r>
      <w:r>
        <w:t xml:space="preserve">Sales Performance Division, Premier Architectural Solutions Sdn Bhd</w:t>
      </w:r>
    </w:p>
    <w:bookmarkStart w:id="20" w:name="i.-executive-summary"/>
    <w:p>
      <w:pPr>
        <w:pStyle w:val="Heading2"/>
      </w:pPr>
      <w:r>
        <w:t xml:space="preserve">I. Executive Summary</w:t>
      </w:r>
    </w:p>
    <w:p>
      <w:pPr>
        <w:pStyle w:val="FirstParagraph"/>
      </w:pPr>
      <w:r>
        <w:t xml:space="preserve">This comprehensive Sales Report details the performance of our architectural services across Malaysia Kuala Lumpur during Q3 2023. The report confirms significant growth in project acquisition and client retention within KL's competitive architectural landscape, driven by strategic market positioning and responsiveness to emerging urban development needs. Our firm has secured 17 new projects totaling RM 48.6 million in contract value, representing a 22% quarterly increase over Q2. This performance places us as the leading commercial architect in Kuala Lumpur for mid-to-high-end residential developments, with a notable expansion into sustainable mixed-use complexes – an area experiencing exponential growth across Malaysia's capital city.</w:t>
      </w:r>
    </w:p>
    <w:bookmarkEnd w:id="20"/>
    <w:bookmarkStart w:id="21" w:name="X4a6e16bd7240f7e18651dfcba48b5adbb5af6cc"/>
    <w:p>
      <w:pPr>
        <w:pStyle w:val="Heading2"/>
      </w:pPr>
      <w:r>
        <w:t xml:space="preserve">II. Kuala Lumpur Market Context &amp; Architectural Trends</w:t>
      </w:r>
    </w:p>
    <w:p>
      <w:pPr>
        <w:pStyle w:val="FirstParagraph"/>
      </w:pPr>
      <w:r>
        <w:t xml:space="preserve">Kuala Lumpur remains the epicenter of Malaysia's architectural innovation, with its skyline undergoing transformative development under the National Economic Transformation Programme (NETP). The city currently hosts over 150 active construction projects valued at RM 65 billion, creating unprecedented demand for specialized Architect services. Key trends directly impacting our sales strategy include:</w:t>
      </w:r>
    </w:p>
    <w:p>
      <w:pPr>
        <w:numPr>
          <w:ilvl w:val="0"/>
          <w:numId w:val="1001"/>
        </w:numPr>
        <w:pStyle w:val="Compact"/>
      </w:pPr>
      <w:r>
        <w:rPr>
          <w:bCs/>
          <w:b/>
        </w:rPr>
        <w:t xml:space="preserve">Sustainability Mandates:</w:t>
      </w:r>
      <w:r>
        <w:t xml:space="preserve"> </w:t>
      </w:r>
      <w:r>
        <w:t xml:space="preserve">New Malaysian Green Building Index (GBI) requirements for all new commercial developments above 10,000 sqm have elevated demand for architects with LEED/EDGE certification. Our firm's 85% certified team is a critical competitive advantage in KL.</w:t>
      </w:r>
    </w:p>
    <w:p>
      <w:pPr>
        <w:numPr>
          <w:ilvl w:val="0"/>
          <w:numId w:val="1001"/>
        </w:numPr>
        <w:pStyle w:val="Compact"/>
      </w:pPr>
      <w:r>
        <w:rPr>
          <w:bCs/>
          <w:b/>
        </w:rPr>
        <w:t xml:space="preserve">Smart City Integration:</w:t>
      </w:r>
      <w:r>
        <w:t xml:space="preserve"> </w:t>
      </w:r>
      <w:r>
        <w:t xml:space="preserve">The Kuala Lumpur Smart City Master Plan has created a new niche for architects skilled in IoT-integrated building design, representing 38% of our Q3 project pipeline.</w:t>
      </w:r>
    </w:p>
    <w:p>
      <w:pPr>
        <w:numPr>
          <w:ilvl w:val="0"/>
          <w:numId w:val="1001"/>
        </w:numPr>
        <w:pStyle w:val="Compact"/>
      </w:pPr>
      <w:r>
        <w:rPr>
          <w:bCs/>
          <w:b/>
        </w:rPr>
        <w:t xml:space="preserve">Premium Residential Demand:</w:t>
      </w:r>
      <w:r>
        <w:t xml:space="preserve"> </w:t>
      </w:r>
      <w:r>
        <w:t xml:space="preserve">Ultra-luxury residential projects (RM 5 million+) in Bangsar and Petaling Jaya have grown by 19% YoY, directly driving our high-value architect engagement.</w:t>
      </w:r>
    </w:p>
    <w:bookmarkEnd w:id="21"/>
    <w:bookmarkStart w:id="22" w:name="iii.-sales-performance-highlights"/>
    <w:p>
      <w:pPr>
        <w:pStyle w:val="Heading2"/>
      </w:pPr>
      <w:r>
        <w:t xml:space="preserve">III. Sales Performance Highlights</w:t>
      </w:r>
    </w:p>
    <w:p>
      <w:pPr>
        <w:pStyle w:val="FirstParagraph"/>
      </w:pPr>
      <w:r>
        <w:t xml:space="preserve">Our Architect sales team achieved remarkable results through targeted market penetration in key Kuala Lumpur districts:</w:t>
      </w:r>
    </w:p>
    <w:p>
      <w:pPr>
        <w:pStyle w:val="BodyText"/>
      </w:pPr>
      <w:r>
        <w:t xml:space="preserve">District</w:t>
      </w:r>
    </w:p>
    <w:p>
      <w:pPr>
        <w:pStyle w:val="BodyText"/>
      </w:pPr>
      <w:r>
        <w:t xml:space="preserve">New Projects Secured</w:t>
      </w:r>
    </w:p>
    <w:p>
      <w:pPr>
        <w:pStyle w:val="BodyText"/>
      </w:pPr>
      <w:r>
        <w:t xml:space="preserve">Total Contract Value (RM)</w:t>
      </w:r>
    </w:p>
    <w:p>
      <w:pPr>
        <w:pStyle w:val="BodyText"/>
      </w:pPr>
      <w:r>
        <w:t xml:space="preserve">Key Client Type</w:t>
      </w:r>
    </w:p>
    <w:p>
      <w:pPr>
        <w:pStyle w:val="BodyText"/>
      </w:pPr>
      <w:r>
        <w:t xml:space="preserve">Kuala Lumpur City Centre (KLCC)</w:t>
      </w:r>
    </w:p>
    <w:p>
      <w:pPr>
        <w:pStyle w:val="BodyText"/>
      </w:pPr>
      <w:r>
        <w:t xml:space="preserve">5</w:t>
      </w:r>
    </w:p>
    <w:p>
      <w:pPr>
        <w:pStyle w:val="BodyText"/>
      </w:pPr>
      <w:r>
        <w:t xml:space="preserve">18,400,000</w:t>
      </w:r>
    </w:p>
    <w:p>
      <w:pPr>
        <w:pStyle w:val="BodyText"/>
      </w:pPr>
      <w:r>
        <w:t xml:space="preserve">International Developers (e.g., Sime Darby Property)</w:t>
      </w:r>
    </w:p>
    <w:p>
      <w:pPr>
        <w:pStyle w:val="BodyText"/>
      </w:pPr>
      <w:r>
        <w:t xml:space="preserve">Bangsar/Petaling Jaya</w:t>
      </w:r>
    </w:p>
    <w:p>
      <w:pPr>
        <w:pStyle w:val="BodyText"/>
      </w:pPr>
      <w:r>
        <w:t xml:space="preserve">6</w:t>
      </w:r>
    </w:p>
    <w:p>
      <w:pPr>
        <w:pStyle w:val="BodyText"/>
      </w:pPr>
      <w:r>
        <w:t xml:space="preserve">Total Contract Value (RM)</w:t>
      </w:r>
    </w:p>
    <w:p>
      <w:pPr>
        <w:pStyle w:val="BodyText"/>
      </w:pPr>
      <w:r>
        <w:t xml:space="preserve">Key Client Type</w:t>
      </w:r>
    </w:p>
    <w:p>
      <w:pPr>
        <w:pStyle w:val="BodyText"/>
      </w:pPr>
      <w:r>
        <w:t xml:space="preserve">Kuala Lumpur City Centre (KLCC)</w:t>
      </w:r>
    </w:p>
    <w:p>
      <w:pPr>
        <w:pStyle w:val="BodyText"/>
      </w:pPr>
      <w:r>
        <w:t xml:space="preserve">5</w:t>
      </w:r>
    </w:p>
    <w:p>
      <w:pPr>
        <w:pStyle w:val="BodyText"/>
      </w:pPr>
      <w:r>
        <w:t xml:space="preserve">18,400,000</w:t>
      </w:r>
    </w:p>
    <w:p>
      <w:pPr>
        <w:pStyle w:val="BodyText"/>
      </w:pPr>
      <w:r>
        <w:t xml:space="preserve">International Developers (e.g., Sime Darby Property)</w:t>
      </w:r>
    </w:p>
    <w:p>
      <w:pPr>
        <w:pStyle w:val="BodyText"/>
      </w:pPr>
      <w:r>
        <w:t xml:space="preserve">Bangsar/Petaling Jaya</w:t>
      </w:r>
    </w:p>
    <w:p>
      <w:pPr>
        <w:pStyle w:val="BodyText"/>
      </w:pPr>
      <w:r>
        <w:t xml:space="preserve">6</w:t>
      </w:r>
    </w:p>
    <w:p>
      <w:pPr>
        <w:pStyle w:val="BodyText"/>
      </w:pPr>
      <w:r>
        <w:t xml:space="preserve">Total Contract Value (RM)</w:t>
      </w:r>
    </w:p>
    <w:p>
      <w:pPr>
        <w:pStyle w:val="BodyText"/>
      </w:pPr>
      <w:r>
        <w:t xml:space="preserve">Key Client Type</w:t>
      </w:r>
    </w:p>
    <w:p>
      <w:pPr>
        <w:pStyle w:val="BodyText"/>
      </w:pPr>
      <w:r>
        <w:t xml:space="preserve">Kuala Lumpur City Centre (KLCC)</w:t>
      </w:r>
    </w:p>
    <w:p>
      <w:pPr>
        <w:pStyle w:val="BodyText"/>
      </w:pPr>
      <w:r>
        <w:t xml:space="preserve">5</w:t>
      </w:r>
    </w:p>
    <w:p>
      <w:pPr>
        <w:pStyle w:val="BodyText"/>
      </w:pPr>
      <w:r>
        <w:t xml:space="preserve">18,400,000</w:t>
      </w:r>
    </w:p>
    <w:p>
      <w:pPr>
        <w:pStyle w:val="BodyText"/>
      </w:pPr>
      <w:r>
        <w:t xml:space="preserve">International Developers (e.g., Sime Darby Property)</w:t>
      </w:r>
    </w:p>
    <w:p>
      <w:pPr>
        <w:pStyle w:val="BodyText"/>
      </w:pPr>
      <w:r>
        <w:t xml:space="preserve">Bangsar/Petaling Jaya</w:t>
      </w:r>
    </w:p>
    <w:p>
      <w:pPr>
        <w:pStyle w:val="BodyText"/>
      </w:pPr>
      <w:r>
        <w:t xml:space="preserve">6</w:t>
      </w:r>
    </w:p>
    <w:p>
      <w:pPr>
        <w:pStyle w:val="BodyText"/>
      </w:pPr>
      <w:r>
        <w:t xml:space="preserve">Total Contract Value (RM)</w:t>
      </w:r>
    </w:p>
    <w:p>
      <w:pPr>
        <w:pStyle w:val="BodyText"/>
      </w:pPr>
      <w:r>
        <w:t xml:space="preserve">Key Client Type</w:t>
      </w:r>
    </w:p>
    <w:p>
      <w:pPr>
        <w:pStyle w:val="BodyText"/>
      </w:pPr>
      <w:r>
        <w:t xml:space="preserve">Kuala Lumpur City Centre (KLCC)</w:t>
      </w:r>
    </w:p>
    <w:p>
      <w:pPr>
        <w:pStyle w:val="BodyText"/>
      </w:pPr>
      <w:r>
        <w:t xml:space="preserve">5</w:t>
      </w:r>
    </w:p>
    <w:p>
      <w:pPr>
        <w:pStyle w:val="BodyText"/>
      </w:pPr>
      <w:r>
        <w:t xml:space="preserve">18,400,000</w:t>
      </w:r>
    </w:p>
    <w:p>
      <w:pPr>
        <w:pStyle w:val="BodyText"/>
      </w:pPr>
      <w:r>
        <w:t xml:space="preserve">International Developers (e.g., Sime Darby Property)</w:t>
      </w:r>
    </w:p>
    <w:p>
      <w:pPr>
        <w:pStyle w:val="BodyText"/>
      </w:pPr>
      <w:r>
        <w:t xml:space="preserve">Bangsar/Petaling Jaya</w:t>
      </w:r>
    </w:p>
    <w:p>
      <w:pPr>
        <w:pStyle w:val="BodyText"/>
      </w:pPr>
      <w:r>
        <w:t xml:space="preserve">6</w:t>
      </w:r>
    </w:p>
    <w:p>
      <w:pPr>
        <w:pStyle w:val="BodyText"/>
      </w:pPr>
      <w:r>
        <w:t xml:space="preserve">Total Contract Value (RM)</w:t>
      </w:r>
    </w:p>
    <w:p>
      <w:pPr>
        <w:pStyle w:val="BodyText"/>
      </w:pPr>
      <w:r>
        <w:t xml:space="preserve">Key Client Type</w:t>
      </w:r>
    </w:p>
    <w:p>
      <w:pPr>
        <w:pStyle w:val="BodyText"/>
      </w:pPr>
      <w:r>
        <w:t xml:space="preserve">Kuala Lumpur City Centre (KLCC)</w:t>
      </w:r>
    </w:p>
    <w:p>
      <w:pPr>
        <w:pStyle w:val="BodyText"/>
      </w:pPr>
      <w:r>
        <w:t xml:space="preserve">5</w:t>
      </w:r>
    </w:p>
    <w:p>
      <w:pPr>
        <w:pStyle w:val="BodyText"/>
      </w:pPr>
      <w:r>
        <w:t xml:space="preserve">18,400,000</w:t>
      </w:r>
    </w:p>
    <w:p>
      <w:pPr>
        <w:pStyle w:val="BodyText"/>
      </w:pPr>
      <w:r>
        <w:t xml:space="preserve">International Developers (e.g., Sime Darby Property)</w:t>
      </w:r>
    </w:p>
    <w:p>
      <w:pPr>
        <w:pStyle w:val="BodyText"/>
      </w:pPr>
      <w:r>
        <w:t xml:space="preserve">Bangsar/Petaling Jaya</w:t>
      </w:r>
    </w:p>
    <w:p>
      <w:pPr>
        <w:pStyle w:val="BodyText"/>
      </w:pPr>
      <w:r>
        <w:t xml:space="preserve">6</w:t>
      </w:r>
    </w:p>
    <w:p>
      <w:pPr>
        <w:pStyle w:val="BodyText"/>
      </w:pPr>
      <w:r>
        <w:t xml:space="preserve">Total Contract Value (RM)</w:t>
      </w:r>
    </w:p>
    <w:p>
      <w:pPr>
        <w:pStyle w:val="BodyText"/>
      </w:pPr>
      <w:r>
        <w:t xml:space="preserve">Key Client Type</w:t>
      </w:r>
    </w:p>
    <w:p>
      <w:pPr>
        <w:pStyle w:val="BodyText"/>
      </w:pPr>
      <w:r>
        <w:t xml:space="preserve">Kuala Lumpur City Centre (KLCC)</w:t>
      </w:r>
    </w:p>
    <w:p>
      <w:pPr>
        <w:pStyle w:val="BodyText"/>
      </w:pPr>
      <w:r>
        <w:t xml:space="preserve">5</w:t>
      </w:r>
    </w:p>
    <w:p>
      <w:pPr>
        <w:pStyle w:val="BodyText"/>
      </w:pPr>
      <w:r>
        <w:t xml:space="preserve">18,400,000</w:t>
      </w:r>
    </w:p>
    <w:p>
      <w:pPr>
        <w:pStyle w:val="BodyText"/>
      </w:pPr>
      <w:r>
        <w:t xml:space="preserve">International Developers (e.g., Sime Darby Property)</w:t>
      </w:r>
    </w:p>
    <w:p>
      <w:pPr>
        <w:pStyle w:val="BodyText"/>
      </w:pPr>
      <w:r>
        <w:t xml:space="preserve">Bangsar/Petaling Jaya</w:t>
      </w:r>
    </w:p>
    <w:p>
      <w:pPr>
        <w:pStyle w:val="BodyText"/>
      </w:pPr>
      <w:r>
        <w:t xml:space="preserve">6</w:t>
      </w:r>
    </w:p>
    <w:p>
      <w:pPr>
        <w:pStyle w:val="BodyText"/>
      </w:pPr>
      <w:r>
        <w:t xml:space="preserve">Total Contract Value (RM)</w:t>
      </w:r>
    </w:p>
    <w:p>
      <w:pPr>
        <w:pStyle w:val="BodyText"/>
      </w:pPr>
      <w:r>
        <w:t xml:space="preserve">Key Client Type</w:t>
      </w:r>
    </w:p>
    <w:p>
      <w:pPr>
        <w:pStyle w:val="BodyText"/>
      </w:pPr>
      <w:r>
        <w:t xml:space="preserve">Notable project wins include the 45-story sustainable residential tower at Taman Tun Dr. Ismail (valued at RM 12.8M) and the integrated smart community project in Putrajaya Perdana – both representing breakthroughs in our KL market penetration strategy.</w:t>
      </w:r>
    </w:p>
    <w:bookmarkEnd w:id="22"/>
    <w:bookmarkStart w:id="23" w:name="Xaa5e6191db3c311dec81cb805db915a607a1511"/>
    <w:p>
      <w:pPr>
        <w:pStyle w:val="Heading2"/>
      </w:pPr>
      <w:r>
        <w:t xml:space="preserve">IV. Client Analysis: Why Architects Choose Us in Malaysia Kuala Lumpur</w:t>
      </w:r>
    </w:p>
    <w:p>
      <w:pPr>
        <w:pStyle w:val="FirstParagraph"/>
      </w:pPr>
      <w:r>
        <w:t xml:space="preserve">Our sales data reveals three critical factors driving client selection of our Architect services within the Malaysian capital city:</w:t>
      </w:r>
    </w:p>
    <w:p>
      <w:pPr>
        <w:numPr>
          <w:ilvl w:val="0"/>
          <w:numId w:val="1002"/>
        </w:numPr>
        <w:pStyle w:val="Compact"/>
      </w:pPr>
      <w:r>
        <w:rPr>
          <w:bCs/>
          <w:b/>
        </w:rPr>
        <w:t xml:space="preserve">Regulatory Navigation Expertise:</w:t>
      </w:r>
      <w:r>
        <w:t xml:space="preserve"> </w:t>
      </w:r>
      <w:r>
        <w:t xml:space="preserve">KL's complex building permit processes (involving DBKL, JKR, and MRT) require specialized architectural knowledge. Our firm reduced average approval timelines by 32% through dedicated regulatory liaisons – a key differentiator for developers.</w:t>
      </w:r>
    </w:p>
    <w:p>
      <w:pPr>
        <w:numPr>
          <w:ilvl w:val="0"/>
          <w:numId w:val="1002"/>
        </w:numPr>
        <w:pStyle w:val="Compact"/>
      </w:pPr>
      <w:r>
        <w:rPr>
          <w:bCs/>
          <w:b/>
        </w:rPr>
        <w:t xml:space="preserve">Local Market Intelligence:</w:t>
      </w:r>
      <w:r>
        <w:t xml:space="preserve"> </w:t>
      </w:r>
      <w:r>
        <w:t xml:space="preserve">Clients specifically cited our deep understanding of KL's unique climate challenges (monsoon adaptation), cultural preferences, and land-use policies as decisive factors in contract awards.</w:t>
      </w:r>
    </w:p>
    <w:p>
      <w:pPr>
        <w:numPr>
          <w:ilvl w:val="0"/>
          <w:numId w:val="1002"/>
        </w:numPr>
        <w:pStyle w:val="Compact"/>
      </w:pPr>
      <w:r>
        <w:rPr>
          <w:bCs/>
          <w:b/>
        </w:rPr>
        <w:t xml:space="preserve">End-to-End Solutions:</w:t>
      </w:r>
      <w:r>
        <w:t xml:space="preserve"> </w:t>
      </w:r>
      <w:r>
        <w:t xml:space="preserve">76% of new clients engaged us for full-cycle services – from concept design through to post-construction maintenance – reflecting growing trust in our Architect capabilities beyond basic drafting.</w:t>
      </w:r>
    </w:p>
    <w:bookmarkEnd w:id="23"/>
    <w:bookmarkStart w:id="24" w:name="Xa6d99fa8d26b35a4eaae572849814a8cd6fc023"/>
    <w:p>
      <w:pPr>
        <w:pStyle w:val="Heading2"/>
      </w:pPr>
      <w:r>
        <w:t xml:space="preserve">V. Competitive Positioning &amp; Market Challenges</w:t>
      </w:r>
    </w:p>
    <w:p>
      <w:pPr>
        <w:pStyle w:val="FirstParagraph"/>
      </w:pPr>
      <w:r>
        <w:t xml:space="preserve">The Kuala Lumpur architectural market is highly competitive, with over 1,800 registered firms vying for projects. Our primary competitors are international firms (e.g., Aedas KL) and local conglomerates (e.g., Woh Hup). Key challenges identified in our Sales Report include:</w:t>
      </w:r>
    </w:p>
    <w:p>
      <w:pPr>
        <w:numPr>
          <w:ilvl w:val="0"/>
          <w:numId w:val="1003"/>
        </w:numPr>
        <w:pStyle w:val="Compact"/>
      </w:pPr>
      <w:r>
        <w:rPr>
          <w:bCs/>
          <w:b/>
        </w:rPr>
        <w:t xml:space="preserve">Cost Sensitivity:</w:t>
      </w:r>
      <w:r>
        <w:t xml:space="preserve"> </w:t>
      </w:r>
      <w:r>
        <w:t xml:space="preserve">41% of mid-tier developers prioritize cost over innovation, requiring us to develop more flexible pricing models for Malaysian market realities.</w:t>
      </w:r>
    </w:p>
    <w:p>
      <w:pPr>
        <w:numPr>
          <w:ilvl w:val="0"/>
          <w:numId w:val="1003"/>
        </w:numPr>
        <w:pStyle w:val="Compact"/>
      </w:pPr>
      <w:r>
        <w:rPr>
          <w:bCs/>
          <w:b/>
        </w:rPr>
        <w:t xml:space="preserve">Talent Retention:</w:t>
      </w:r>
      <w:r>
        <w:t xml:space="preserve"> </w:t>
      </w:r>
      <w:r>
        <w:t xml:space="preserve">Competition for certified Architects in KL has driven salary premiums up 25% YoY, impacting our service delivery capacity.</w:t>
      </w:r>
    </w:p>
    <w:p>
      <w:pPr>
        <w:numPr>
          <w:ilvl w:val="0"/>
          <w:numId w:val="1003"/>
        </w:numPr>
        <w:pStyle w:val="Compact"/>
      </w:pPr>
      <w:r>
        <w:rPr>
          <w:bCs/>
          <w:b/>
        </w:rPr>
        <w:t xml:space="preserve">Technology Adoption:</w:t>
      </w:r>
      <w:r>
        <w:t xml:space="preserve"> </w:t>
      </w:r>
      <w:r>
        <w:t xml:space="preserve">While we lead in BIM implementation (87% project usage), some clients remain hesitant due to perceived complexity – requiring more educational sales efforts.</w:t>
      </w:r>
    </w:p>
    <w:bookmarkEnd w:id="24"/>
    <w:bookmarkStart w:id="25" w:name="X13f03b432a1e3f5138bd5ded9008e9bcce8edf6"/>
    <w:p>
      <w:pPr>
        <w:pStyle w:val="Heading2"/>
      </w:pPr>
      <w:r>
        <w:t xml:space="preserve">VI. Strategic Recommendations for Enhanced Architect Sales Performance</w:t>
      </w:r>
    </w:p>
    <w:p>
      <w:pPr>
        <w:pStyle w:val="FirstParagraph"/>
      </w:pPr>
      <w:r>
        <w:t xml:space="preserve">To capitalize on Malaysia's dynamic Kuala Lumpur market, we propose the following actions:</w:t>
      </w:r>
    </w:p>
    <w:p>
      <w:pPr>
        <w:numPr>
          <w:ilvl w:val="0"/>
          <w:numId w:val="1004"/>
        </w:numPr>
        <w:pStyle w:val="Compact"/>
      </w:pPr>
      <w:r>
        <w:rPr>
          <w:bCs/>
          <w:b/>
        </w:rPr>
        <w:t xml:space="preserve">Develop Tiered Service Packages:</w:t>
      </w:r>
      <w:r>
        <w:t xml:space="preserve"> </w:t>
      </w:r>
      <w:r>
        <w:t xml:space="preserve">Create entry-level Architect solutions (RM 150k–RM 300k) targeting smaller developers in emerging KL districts like Cheras and Ampang to capture volume.</w:t>
      </w:r>
    </w:p>
    <w:p>
      <w:pPr>
        <w:numPr>
          <w:ilvl w:val="0"/>
          <w:numId w:val="1004"/>
        </w:numPr>
        <w:pStyle w:val="Compact"/>
      </w:pPr>
      <w:r>
        <w:rPr>
          <w:bCs/>
          <w:b/>
        </w:rPr>
        <w:t xml:space="preserve">Establish KL Sustainability Hub:</w:t>
      </w:r>
      <w:r>
        <w:t xml:space="preserve"> </w:t>
      </w:r>
      <w:r>
        <w:t xml:space="preserve">Partner with MTD and UEM Sunrise to offer free green building workshops for developers, positioning our firm as the local sustainability authority.</w:t>
      </w:r>
    </w:p>
    <w:p>
      <w:pPr>
        <w:numPr>
          <w:ilvl w:val="0"/>
          <w:numId w:val="1004"/>
        </w:numPr>
        <w:pStyle w:val="Compact"/>
      </w:pPr>
      <w:r>
        <w:rPr>
          <w:bCs/>
          <w:b/>
        </w:rPr>
        <w:t xml:space="preserve">Enhance Digital Sales Tools:</w:t>
      </w:r>
      <w:r>
        <w:t xml:space="preserve"> </w:t>
      </w:r>
      <w:r>
        <w:t xml:space="preserve">Implement AI-powered 3D visualization software allowing KL clients to "experience" designs pre-construction – addressing the key objection of visualizing complex projects.</w:t>
      </w:r>
    </w:p>
    <w:p>
      <w:pPr>
        <w:numPr>
          <w:ilvl w:val="0"/>
          <w:numId w:val="1004"/>
        </w:numPr>
        <w:pStyle w:val="Compact"/>
      </w:pPr>
      <w:r>
        <w:rPr>
          <w:bCs/>
          <w:b/>
        </w:rPr>
        <w:t xml:space="preserve">Leverage Government Initiatives:</w:t>
      </w:r>
      <w:r>
        <w:t xml:space="preserve"> </w:t>
      </w:r>
      <w:r>
        <w:t xml:space="preserve">Align sales strategy with Kuala Lumpur City Hall's 2025 Smart City Blueprint, targeting municipal projects requiring architectural innovation.</w:t>
      </w:r>
    </w:p>
    <w:bookmarkEnd w:id="25"/>
    <w:bookmarkStart w:id="26" w:name="X1f30b54727b1d5fc1b1df90e9988790a97745a1"/>
    <w:p>
      <w:pPr>
        <w:pStyle w:val="Heading2"/>
      </w:pPr>
      <w:r>
        <w:t xml:space="preserve">VII. Conclusion: Architecting Success in Malaysia Kuala Lumpur</w:t>
      </w:r>
    </w:p>
    <w:p>
      <w:pPr>
        <w:pStyle w:val="FirstParagraph"/>
      </w:pPr>
      <w:r>
        <w:t xml:space="preserve">This Sales Report confirms that our Architect firm has successfully positioned itself at the forefront of Kuala Lumpur's evolving design landscape. The city's rapid development trajectory – fueled by government initiatives, foreign investment, and local demand for sustainable living – creates a unique opportunity for firms with deep regional expertise. Our 22% quarterly growth demonstrates the effectiveness of our localized sales approach centered on understanding Malaysia's specific urban challenges.</w:t>
      </w:r>
    </w:p>
    <w:p>
      <w:pPr>
        <w:pStyle w:val="BodyText"/>
      </w:pPr>
      <w:r>
        <w:t xml:space="preserve">As KL continues its transformation into Southeast Asia's premier smart city, the demand for innovative Architect services will intensify. By doubling down on our strengths in sustainability compliance, regulatory navigation, and culturally intelligent design – all while maintaining competitive pricing for the Malaysian market – we project 35% year-over-year growth by Q1 2024. This Sales Report underscores that strategic alignment with Kuala Lumpur's development priorities is not merely advantageous but essential for architectural firms operating across Malaysia.</w:t>
      </w:r>
    </w:p>
    <w:p>
      <w:pPr>
        <w:pStyle w:val="BodyText"/>
      </w:pPr>
      <w:r>
        <w:rPr>
          <w:bCs/>
          <w:b/>
        </w:rPr>
        <w:t xml:space="preserve">Prepared by:</w:t>
      </w:r>
      <w:r>
        <w:t xml:space="preserve"> </w:t>
      </w:r>
      <w:r>
        <w:t xml:space="preserve">Aisha Rahman, Head of Sales Strategy</w:t>
      </w:r>
      <w:r>
        <w:br/>
      </w:r>
      <w:r>
        <w:rPr>
          <w:bCs/>
          <w:b/>
        </w:rPr>
        <w:t xml:space="preserve">Contact:</w:t>
      </w:r>
      <w:r>
        <w:t xml:space="preserve"> </w:t>
      </w:r>
      <w:r>
        <w:t xml:space="preserve">a.rahman@premierarchitect.my | +603-7952 8800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Sales Report: Malaysia Kuala Lumpur Market Analysis</dc:title>
  <dc:creator/>
  <dc:language>en</dc:language>
  <cp:keywords/>
  <dcterms:created xsi:type="dcterms:W3CDTF">2025-12-11T17:26:11Z</dcterms:created>
  <dcterms:modified xsi:type="dcterms:W3CDTF">2025-12-11T17:26:11Z</dcterms:modified>
</cp:coreProperties>
</file>

<file path=docProps/custom.xml><?xml version="1.0" encoding="utf-8"?>
<Properties xmlns="http://schemas.openxmlformats.org/officeDocument/2006/custom-properties" xmlns:vt="http://schemas.openxmlformats.org/officeDocument/2006/docPropsVTypes"/>
</file>