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Architectural</w:t>
      </w:r>
      <w:r>
        <w:t xml:space="preserve"> </w:t>
      </w:r>
      <w:r>
        <w:t xml:space="preserve">Services</w:t>
      </w:r>
      <w:r>
        <w:t xml:space="preserve"> </w:t>
      </w:r>
      <w:r>
        <w:t xml:space="preserve">in</w:t>
      </w:r>
      <w:r>
        <w:t xml:space="preserve"> </w:t>
      </w:r>
      <w:r>
        <w:t xml:space="preserve">Mexico</w:t>
      </w:r>
      <w:r>
        <w:t xml:space="preserve"> </w:t>
      </w:r>
      <w:r>
        <w:t xml:space="preserve">City</w:t>
      </w:r>
    </w:p>
    <w:bookmarkStart w:id="27" w:name="X9a02f55be0957f70d4c9e201f6245eeb3548b41"/>
    <w:p>
      <w:pPr>
        <w:pStyle w:val="Heading1"/>
      </w:pPr>
      <w:r>
        <w:t xml:space="preserve">Quarterly Sales Report: Architectural Services Performance in Mexico City - Q3 2024</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Team</w:t>
      </w:r>
      <w:r>
        <w:br/>
      </w:r>
      <w:r>
        <w:rPr>
          <w:bCs/>
          <w:b/>
        </w:rPr>
        <w:t xml:space="preserve">Prepared By:</w:t>
      </w:r>
      <w:r>
        <w:t xml:space="preserve"> </w:t>
      </w:r>
      <w:r>
        <w:t xml:space="preserve">Sales &amp; Strategy Division, Mexico City Office</w:t>
      </w:r>
    </w:p>
    <w:bookmarkStart w:id="20" w:name="i.-executive-summary"/>
    <w:p>
      <w:pPr>
        <w:pStyle w:val="Heading2"/>
      </w:pPr>
      <w:r>
        <w:t xml:space="preserve">I. Executive Summary</w:t>
      </w:r>
    </w:p>
    <w:p>
      <w:pPr>
        <w:pStyle w:val="FirstParagraph"/>
      </w:pPr>
      <w:r>
        <w:t xml:space="preserve">This Sales Report details the performance of our architectural services division across Mexico City during Q3 2024. The quarter demonstrated significant growth in high-value commercial and mixed-use projects, solidifying our position as a leading</w:t>
      </w:r>
      <w:r>
        <w:t xml:space="preserve"> </w:t>
      </w:r>
      <w:r>
        <w:rPr>
          <w:bCs/>
          <w:b/>
        </w:rPr>
        <w:t xml:space="preserve">Architect</w:t>
      </w:r>
      <w:r>
        <w:t xml:space="preserve"> </w:t>
      </w:r>
      <w:r>
        <w:t xml:space="preserve">firm within the competitive Mexican market. Total sales revenue reached MXN 18.7 million, representing a 22% year-over-year increase. The success is directly attributable to the strategic deployment of our</w:t>
      </w:r>
      <w:r>
        <w:t xml:space="preserve"> </w:t>
      </w:r>
      <w:r>
        <w:rPr>
          <w:bCs/>
          <w:b/>
        </w:rPr>
        <w:t xml:space="preserve">Architect</w:t>
      </w:r>
      <w:r>
        <w:t xml:space="preserve"> </w:t>
      </w:r>
      <w:r>
        <w:t xml:space="preserve">team in addressing Mexico City's unique urban challenges and client demands for sustainable, culturally resonant design solutions.</w:t>
      </w:r>
    </w:p>
    <w:bookmarkEnd w:id="20"/>
    <w:bookmarkStart w:id="21" w:name="ii.-market-analysis-mexico-city-context"/>
    <w:p>
      <w:pPr>
        <w:pStyle w:val="Heading2"/>
      </w:pPr>
      <w:r>
        <w:t xml:space="preserve">II. Market Analysis: Mexico City Context</w:t>
      </w:r>
    </w:p>
    <w:p>
      <w:pPr>
        <w:pStyle w:val="FirstParagraph"/>
      </w:pPr>
      <w:r>
        <w:t xml:space="preserve">Mexico City remains the epicenter of architectural innovation and demand in all of Mexico, characterized by its dense population (over 21 million), stringent seismic building codes (NOM-024), and a growing emphasis on sustainable development under the "Mexico City Green Strategy." The commercial real estate sector is experiencing a renaissance, with increased investment in office towers, mixed-use developments, and adaptive reuse projects in historic neighborhoods like Roma Norte and Condesa. Our</w:t>
      </w:r>
      <w:r>
        <w:t xml:space="preserve"> </w:t>
      </w:r>
      <w:r>
        <w:rPr>
          <w:bCs/>
          <w:b/>
        </w:rPr>
        <w:t xml:space="preserve">Architect</w:t>
      </w:r>
      <w:r>
        <w:t xml:space="preserve"> </w:t>
      </w:r>
      <w:r>
        <w:t xml:space="preserve">team has strategically positioned itself to capture this demand through specialized expertise in high-rise engineering for Mexico City's soil conditions and compliance with local zoning laws.</w:t>
      </w:r>
    </w:p>
    <w:p>
      <w:pPr>
        <w:pStyle w:val="BodyText"/>
      </w:pPr>
      <w:r>
        <w:t xml:space="preserve">The competitive landscape includes international firms, but our deep understanding of local materials, regulatory frameworks, and client relationship dynamics (crucial in Mexican business culture) has become a decisive differentiator. Key clients this quarter included major developers (Grupo Carso), government entities (INEGI offices renovation), and cultural institutions requiring sensitive design integration within Mexico City's historic fabric.</w:t>
      </w:r>
    </w:p>
    <w:bookmarkEnd w:id="21"/>
    <w:bookmarkStart w:id="22" w:name="iii.-sales-performance-highlights"/>
    <w:p>
      <w:pPr>
        <w:pStyle w:val="Heading2"/>
      </w:pPr>
      <w:r>
        <w:t xml:space="preserve">III. Sales Performance Highlights</w:t>
      </w:r>
    </w:p>
    <w:p>
      <w:pPr>
        <w:pStyle w:val="FirstParagraph"/>
      </w:pPr>
      <w:r>
        <w:rPr>
          <w:bCs/>
          <w:b/>
        </w:rPr>
        <w:t xml:space="preserve">A. Project Acquisition:</w:t>
      </w:r>
      <w:r>
        <w:t xml:space="preserve"> </w:t>
      </w:r>
      <w:r>
        <w:t xml:space="preserve">Secured 7 new client engagements, a 35% increase from Q2:</w:t>
      </w:r>
    </w:p>
    <w:p>
      <w:pPr>
        <w:numPr>
          <w:ilvl w:val="0"/>
          <w:numId w:val="1001"/>
        </w:numPr>
        <w:pStyle w:val="Compact"/>
      </w:pPr>
      <w:r>
        <w:rPr>
          <w:bCs/>
          <w:b/>
        </w:rPr>
        <w:t xml:space="preserve">Torre Reforma Residencial (Polanco):</w:t>
      </w:r>
      <w:r>
        <w:t xml:space="preserve"> </w:t>
      </w:r>
      <w:r>
        <w:t xml:space="preserve">MXN 6.2M contract for premium residential tower design (38 stories) – flagship project demonstrating our ability to deliver luxury living solutions in Mexico City's most exclusive district.</w:t>
      </w:r>
    </w:p>
    <w:p>
      <w:pPr>
        <w:numPr>
          <w:ilvl w:val="0"/>
          <w:numId w:val="1001"/>
        </w:numPr>
        <w:pStyle w:val="Compact"/>
      </w:pPr>
      <w:r>
        <w:rPr>
          <w:bCs/>
          <w:b/>
        </w:rPr>
        <w:t xml:space="preserve">Mercado de la Ciudad de México Revitalization:</w:t>
      </w:r>
      <w:r>
        <w:t xml:space="preserve"> </w:t>
      </w:r>
      <w:r>
        <w:t xml:space="preserve">MXN 4.5M contract with the Secretaría de Desarrollo Económico to redesign the historic mercado while preserving cultural heritage – showcasing our</w:t>
      </w:r>
      <w:r>
        <w:t xml:space="preserve"> </w:t>
      </w:r>
      <w:r>
        <w:rPr>
          <w:bCs/>
          <w:b/>
        </w:rPr>
        <w:t xml:space="preserve">Architect</w:t>
      </w:r>
      <w:r>
        <w:t xml:space="preserve">'s expertise in adaptive reuse within Mexico City's core.</w:t>
      </w:r>
    </w:p>
    <w:p>
      <w:pPr>
        <w:numPr>
          <w:ilvl w:val="0"/>
          <w:numId w:val="1001"/>
        </w:numPr>
        <w:pStyle w:val="Compact"/>
      </w:pPr>
      <w:r>
        <w:rPr>
          <w:bCs/>
          <w:b/>
        </w:rPr>
        <w:t xml:space="preserve">GreenTech Campus (Azcapotzalco):</w:t>
      </w:r>
      <w:r>
        <w:t xml:space="preserve"> </w:t>
      </w:r>
      <w:r>
        <w:t xml:space="preserve">MXN 5.1M contract for sustainable corporate campus design targeting LEED Gold certification – directly aligning with Mexico City's environmental mandates.</w:t>
      </w:r>
    </w:p>
    <w:p>
      <w:pPr>
        <w:pStyle w:val="FirstParagraph"/>
      </w:pPr>
      <w:r>
        <w:rPr>
          <w:bCs/>
          <w:b/>
        </w:rPr>
        <w:t xml:space="preserve">B. Revenue Breakdown: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Project Type</w:t>
            </w:r>
          </w:p>
        </w:tc>
        <w:tc>
          <w:tcPr/>
          <w:p>
            <w:pPr>
              <w:pStyle w:val="Compact"/>
              <w:jc w:val="left"/>
            </w:pPr>
            <w:r>
              <w:t xml:space="preserve">Revenue (MXN)</w:t>
            </w:r>
          </w:p>
        </w:tc>
        <w:tc>
          <w:tcPr/>
          <w:p>
            <w:pPr>
              <w:pStyle w:val="Compact"/>
              <w:jc w:val="left"/>
            </w:pPr>
            <w:r>
              <w:t xml:space="preserve">% of Total</w:t>
            </w:r>
          </w:p>
        </w:tc>
      </w:tr>
      <w:tr>
        <w:tc>
          <w:tcPr/>
          <w:p>
            <w:pPr>
              <w:pStyle w:val="Compact"/>
              <w:jc w:val="left"/>
            </w:pPr>
            <w:r>
              <w:t xml:space="preserve">Commercial High-Rise</w:t>
            </w:r>
          </w:p>
        </w:tc>
        <w:tc>
          <w:tcPr/>
          <w:p>
            <w:pPr>
              <w:pStyle w:val="Compact"/>
              <w:jc w:val="left"/>
            </w:pPr>
            <w:r>
              <w:t xml:space="preserve">6,200,000</w:t>
            </w:r>
          </w:p>
        </w:tc>
        <w:tc>
          <w:tcPr/>
          <w:p>
            <w:pPr>
              <w:pStyle w:val="Compact"/>
              <w:jc w:val="left"/>
            </w:pPr>
            <w:r>
              <w:t xml:space="preserve">33%</w:t>
            </w:r>
          </w:p>
        </w:tc>
      </w:tr>
      <w:tr>
        <w:tc>
          <w:tcPr/>
          <w:p>
            <w:pPr>
              <w:pStyle w:val="Compact"/>
              <w:jc w:val="left"/>
            </w:pPr>
            <w:r>
              <w:t xml:space="preserve">Sustainable Development (LEED)</w:t>
            </w:r>
          </w:p>
        </w:tc>
        <w:tc>
          <w:tcPr/>
          <w:p>
            <w:pPr>
              <w:pStyle w:val="Compact"/>
              <w:jc w:val="left"/>
            </w:pPr>
            <w:r>
              <w:t xml:space="preserve">5,100,000</w:t>
            </w:r>
          </w:p>
        </w:tc>
        <w:tc>
          <w:tcPr/>
          <w:p>
            <w:pPr>
              <w:pStyle w:val="Compact"/>
              <w:jc w:val="left"/>
            </w:pPr>
            <w:r>
              <w:t xml:space="preserve">27%</w:t>
            </w:r>
          </w:p>
        </w:tc>
      </w:tr>
      <w:tr>
        <w:tc>
          <w:tcPr/>
          <w:p>
            <w:pPr>
              <w:pStyle w:val="Compact"/>
              <w:jc w:val="left"/>
            </w:pPr>
            <w:r>
              <w:t xml:space="preserve">Adaptive Reuse / Cultural Projects</w:t>
            </w:r>
          </w:p>
        </w:tc>
        <w:tc>
          <w:tcPr/>
          <w:p>
            <w:pPr>
              <w:pStyle w:val="Compact"/>
              <w:jc w:val="left"/>
            </w:pPr>
            <w:r>
              <w:t xml:space="preserve">4,500,000</w:t>
            </w:r>
          </w:p>
        </w:tc>
        <w:tc>
          <w:tcPr/>
          <w:p>
            <w:pPr>
              <w:pStyle w:val="Compact"/>
            </w:pPr>
          </w:p>
        </w:tc>
      </w:tr>
      <w:tr>
        <w:tc>
          <w:tcPr/>
          <w:p>
            <w:pPr>
              <w:pStyle w:val="Compact"/>
              <w:jc w:val="left"/>
            </w:pPr>
            <w:r>
              <w:t xml:space="preserve">Mixed-Use Urban Renewal</w:t>
            </w:r>
          </w:p>
        </w:tc>
        <w:tc>
          <w:tcPr/>
          <w:p>
            <w:pPr>
              <w:pStyle w:val="Compact"/>
              <w:jc w:val="left"/>
            </w:pPr>
            <w:r>
              <w:t xml:space="preserve">3,800,000</w:t>
            </w:r>
          </w:p>
        </w:tc>
        <w:tc>
          <w:tcPr/>
          <w:p>
            <w:pPr>
              <w:pStyle w:val="Compact"/>
              <w:jc w:val="left"/>
            </w:pPr>
            <w:r>
              <w:t xml:space="preserve">21%</w:t>
            </w:r>
          </w:p>
        </w:tc>
      </w:tr>
      <w:tr>
        <w:tc>
          <w:tcPr/>
          <w:p>
            <w:pPr>
              <w:pStyle w:val="Compact"/>
              <w:jc w:val="left"/>
            </w:pPr>
            <w:r>
              <w:t xml:space="preserve">Total Revenue (Q3)</w:t>
            </w:r>
          </w:p>
        </w:tc>
        <w:tc>
          <w:tcPr>
            <w:gridSpan w:val="2"/>
          </w:tcPr>
          <w:p>
            <w:pPr>
              <w:pStyle w:val="Compact"/>
              <w:jc w:val="left"/>
            </w:pPr>
            <w:r>
              <w:t xml:space="preserve">18,705,984</w:t>
            </w:r>
          </w:p>
        </w:tc>
      </w:tr>
    </w:tbl>
    <w:bookmarkEnd w:id="22"/>
    <w:bookmarkStart w:id="23" w:name="Xcb5913c614fc364d801963e50bb3dc49ad89272"/>
    <w:p>
      <w:pPr>
        <w:pStyle w:val="Heading2"/>
      </w:pPr>
      <w:r>
        <w:t xml:space="preserve">IV. The Architect's Critical Role in Sales Success</w:t>
      </w:r>
    </w:p>
    <w:p>
      <w:pPr>
        <w:pStyle w:val="FirstParagraph"/>
      </w:pPr>
      <w:r>
        <w:t xml:space="preserve">Central to this quarter's results is the indispensable contribution of our on-the-ground</w:t>
      </w:r>
      <w:r>
        <w:t xml:space="preserve"> </w:t>
      </w:r>
      <w:r>
        <w:rPr>
          <w:bCs/>
          <w:b/>
        </w:rPr>
        <w:t xml:space="preserve">Architect</w:t>
      </w:r>
      <w:r>
        <w:t xml:space="preserve"> </w:t>
      </w:r>
      <w:r>
        <w:t xml:space="preserve">team in Mexico City. Unlike remote design teams, our local architects:</w:t>
      </w:r>
    </w:p>
    <w:p>
      <w:pPr>
        <w:numPr>
          <w:ilvl w:val="0"/>
          <w:numId w:val="1002"/>
        </w:numPr>
        <w:pStyle w:val="Compact"/>
      </w:pPr>
      <w:r>
        <w:rPr>
          <w:bCs/>
          <w:b/>
        </w:rPr>
        <w:t xml:space="preserve">Mastered Regulatory Nuances:</w:t>
      </w:r>
      <w:r>
        <w:t xml:space="preserve"> </w:t>
      </w:r>
      <w:r>
        <w:t xml:space="preserve">Navigated Mexico City-specific permitting processes (e.g., INEGI approvals for urban projects) with speed and accuracy, reducing client project delays by 30%.</w:t>
      </w:r>
    </w:p>
    <w:p>
      <w:pPr>
        <w:numPr>
          <w:ilvl w:val="0"/>
          <w:numId w:val="1002"/>
        </w:numPr>
        <w:pStyle w:val="Compact"/>
      </w:pPr>
      <w:r>
        <w:rPr>
          <w:bCs/>
          <w:b/>
        </w:rPr>
        <w:t xml:space="preserve">Built Trust Through Local Presence:</w:t>
      </w:r>
      <w:r>
        <w:t xml:space="preserve"> </w:t>
      </w:r>
      <w:r>
        <w:t xml:space="preserve">Conducted face-to-face meetings at key client locations across Mexico City (including Coyoacán and Santa Fe), fostering the personal relationships vital for closing deals in the Mexican market.</w:t>
      </w:r>
    </w:p>
    <w:p>
      <w:pPr>
        <w:numPr>
          <w:ilvl w:val="0"/>
          <w:numId w:val="1002"/>
        </w:numPr>
        <w:pStyle w:val="Compact"/>
      </w:pPr>
      <w:r>
        <w:rPr>
          <w:bCs/>
          <w:b/>
        </w:rPr>
        <w:t xml:space="preserve">Delivered Culturally Informed Solutions:</w:t>
      </w:r>
      <w:r>
        <w:t xml:space="preserve"> </w:t>
      </w:r>
      <w:r>
        <w:t xml:space="preserve">Integrated local aesthetics and community needs into designs (e.g., incorporating traditional *mexicanidad* elements in Mercado de la Ciudad project), directly addressing client desires to resonate with Mexico City's identity.</w:t>
      </w:r>
    </w:p>
    <w:p>
      <w:pPr>
        <w:numPr>
          <w:ilvl w:val="0"/>
          <w:numId w:val="1002"/>
        </w:numPr>
        <w:pStyle w:val="Compact"/>
      </w:pPr>
      <w:r>
        <w:rPr>
          <w:bCs/>
          <w:b/>
        </w:rPr>
        <w:t xml:space="preserve">Provided On-Site Technical Leadership:</w:t>
      </w:r>
      <w:r>
        <w:t xml:space="preserve"> </w:t>
      </w:r>
      <w:r>
        <w:t xml:space="preserve">Resolved complex construction challenges during site visits across diverse Mexico City zones, preventing costly redesigns and maintaining project momentum.</w:t>
      </w:r>
    </w:p>
    <w:bookmarkEnd w:id="23"/>
    <w:bookmarkStart w:id="24" w:name="v.-client-feedback-satisfaction"/>
    <w:p>
      <w:pPr>
        <w:pStyle w:val="Heading2"/>
      </w:pPr>
      <w:r>
        <w:t xml:space="preserve">V. Client Feedback &amp; Satisfaction</w:t>
      </w:r>
    </w:p>
    <w:p>
      <w:pPr>
        <w:pStyle w:val="FirstParagraph"/>
      </w:pPr>
      <w:r>
        <w:t xml:space="preserve">Client satisfaction scores (measured via post-engagement surveys) averaged 4.8/5.0 across all Q3 projects in Mexico City. Key feedback reinforcing our</w:t>
      </w:r>
      <w:r>
        <w:t xml:space="preserve"> </w:t>
      </w:r>
      <w:r>
        <w:rPr>
          <w:bCs/>
          <w:b/>
        </w:rPr>
        <w:t xml:space="preserve">Architect</w:t>
      </w:r>
      <w:r>
        <w:t xml:space="preserve">'s value included:</w:t>
      </w:r>
    </w:p>
    <w:p>
      <w:pPr>
        <w:pStyle w:val="BlockText"/>
      </w:pPr>
      <w:r>
        <w:rPr>
          <w:iCs/>
          <w:i/>
        </w:rPr>
        <w:t xml:space="preserve">"Our Mexico City team's Architect understood the specific challenges of building in Coyoacán – the historical restrictions, community sensitivities, and local material availability. This depth of local knowledge was critical to our project's success and allowed us to secure city approval faster than anticipated."</w:t>
      </w:r>
      <w:r>
        <w:t xml:space="preserve"> </w:t>
      </w:r>
      <w:r>
        <w:t xml:space="preserve">- VP of Development, Grupo Carso</w:t>
      </w:r>
    </w:p>
    <w:p>
      <w:pPr>
        <w:pStyle w:val="BlockText"/>
      </w:pPr>
      <w:r>
        <w:rPr>
          <w:iCs/>
          <w:i/>
        </w:rPr>
        <w:t xml:space="preserve">"The ability of the Architect to present concepts that blended modern sustainability with Mexico City's architectural heritage was unmatched. This wasn't just design; it was a strategic sales advantage for our project."</w:t>
      </w:r>
      <w:r>
        <w:t xml:space="preserve"> </w:t>
      </w:r>
      <w:r>
        <w:t xml:space="preserve">- Project Director, INEGI</w:t>
      </w:r>
    </w:p>
    <w:bookmarkEnd w:id="24"/>
    <w:bookmarkStart w:id="25" w:name="vi.-challenges-strategic-focus-for-q4"/>
    <w:p>
      <w:pPr>
        <w:pStyle w:val="Heading2"/>
      </w:pPr>
      <w:r>
        <w:t xml:space="preserve">VI. Challenges &amp; Strategic Focus for Q4</w:t>
      </w:r>
    </w:p>
    <w:p>
      <w:pPr>
        <w:pStyle w:val="FirstParagraph"/>
      </w:pPr>
      <w:r>
        <w:t xml:space="preserve">The primary challenge identified remains the intense competition from firms offering lower-cost services, particularly from overseas entities. To counter this in Mexico City's market, we are doubling down on the unique value proposition of our local</w:t>
      </w:r>
      <w:r>
        <w:t xml:space="preserve"> </w:t>
      </w:r>
      <w:r>
        <w:rPr>
          <w:bCs/>
          <w:b/>
        </w:rPr>
        <w:t xml:space="preserve">Architect</w:t>
      </w:r>
      <w:r>
        <w:t xml:space="preserve">:</w:t>
      </w:r>
    </w:p>
    <w:p>
      <w:pPr>
        <w:numPr>
          <w:ilvl w:val="0"/>
          <w:numId w:val="1003"/>
        </w:numPr>
        <w:pStyle w:val="Compact"/>
      </w:pPr>
      <w:r>
        <w:rPr>
          <w:bCs/>
          <w:b/>
        </w:rPr>
        <w:t xml:space="preserve">Investing in Local Talent:</w:t>
      </w:r>
      <w:r>
        <w:t xml:space="preserve"> </w:t>
      </w:r>
      <w:r>
        <w:t xml:space="preserve">Launching a specialized training program for our Mexico City-based Architects focused exclusively on seismic engineering for Mexico City's soil types and latest NOM regulations.</w:t>
      </w:r>
    </w:p>
    <w:p>
      <w:pPr>
        <w:numPr>
          <w:ilvl w:val="0"/>
          <w:numId w:val="1003"/>
        </w:numPr>
        <w:pStyle w:val="Compact"/>
      </w:pPr>
      <w:r>
        <w:rPr>
          <w:bCs/>
          <w:b/>
        </w:rPr>
        <w:t xml:space="preserve">Promoting Cultural Intelligence:</w:t>
      </w:r>
      <w:r>
        <w:t xml:space="preserve"> </w:t>
      </w:r>
      <w:r>
        <w:t xml:space="preserve">Developing case studies showcasing projects that successfully integrated Mexican cultural elements, directly addressing client needs in the Mexican context.</w:t>
      </w:r>
    </w:p>
    <w:p>
      <w:pPr>
        <w:numPr>
          <w:ilvl w:val="0"/>
          <w:numId w:val="1003"/>
        </w:numPr>
        <w:pStyle w:val="Compact"/>
      </w:pPr>
      <w:r>
        <w:rPr>
          <w:bCs/>
          <w:b/>
        </w:rPr>
        <w:t xml:space="preserve">Enhancing Digital Sales Tools:</w:t>
      </w:r>
      <w:r>
        <w:t xml:space="preserve"> </w:t>
      </w:r>
      <w:r>
        <w:t xml:space="preserve">Creating localized virtual tours of past Mexico City projects (e.g., Torre Reforma Residencial) to showcase our</w:t>
      </w:r>
      <w:r>
        <w:t xml:space="preserve"> </w:t>
      </w:r>
      <w:r>
        <w:rPr>
          <w:bCs/>
          <w:b/>
        </w:rPr>
        <w:t xml:space="preserve">Architect</w:t>
      </w:r>
      <w:r>
        <w:t xml:space="preserve">'s capability to clients across all of Mexico.</w:t>
      </w:r>
    </w:p>
    <w:bookmarkEnd w:id="25"/>
    <w:bookmarkStart w:id="26" w:name="X9f6545bdcfb9ee90fd4b2d383272831d82531eb"/>
    <w:p>
      <w:pPr>
        <w:pStyle w:val="Heading2"/>
      </w:pPr>
      <w:r>
        <w:t xml:space="preserve">VII. Conclusion: Architect as the Cornerstone of Growth in Mexico City</w:t>
      </w:r>
    </w:p>
    <w:p>
      <w:pPr>
        <w:pStyle w:val="FirstParagraph"/>
      </w:pPr>
      <w:r>
        <w:t xml:space="preserve">This Sales Report unequivocally demonstrates that the presence and expertise of a highly skilled, locally embedded</w:t>
      </w:r>
      <w:r>
        <w:t xml:space="preserve"> </w:t>
      </w:r>
      <w:r>
        <w:rPr>
          <w:bCs/>
          <w:b/>
        </w:rPr>
        <w:t xml:space="preserve">Architect</w:t>
      </w:r>
      <w:r>
        <w:t xml:space="preserve"> </w:t>
      </w:r>
      <w:r>
        <w:t xml:space="preserve">is not merely beneficial but essential for sustainable revenue growth within Mexico City's complex and dynamic market. Our Q3 results – driven by projects deeply rooted in the realities of Mexico City – validate our strategy. As we look ahead to Q4 2024, the focus remains on leveraging our unique</w:t>
      </w:r>
      <w:r>
        <w:t xml:space="preserve"> </w:t>
      </w:r>
      <w:r>
        <w:rPr>
          <w:bCs/>
          <w:b/>
        </w:rPr>
        <w:t xml:space="preserve">Architect</w:t>
      </w:r>
      <w:r>
        <w:t xml:space="preserve"> </w:t>
      </w:r>
      <w:r>
        <w:t xml:space="preserve">talent pool to secure contracts that define excellence in Mexico City's architectural landscape and drive further expansion across all of Mexico. The demand for design that understands Mexico City is not just present; it is accelerating. Our Sales Report confirms: investing in the right</w:t>
      </w:r>
      <w:r>
        <w:t xml:space="preserve"> </w:t>
      </w:r>
      <w:r>
        <w:rPr>
          <w:bCs/>
          <w:b/>
        </w:rPr>
        <w:t xml:space="preserve">Architect</w:t>
      </w:r>
      <w:r>
        <w:t xml:space="preserve">, located within the heart of Mexico, delivers tangible sales results.</w:t>
      </w:r>
    </w:p>
    <w:p>
      <w:pPr>
        <w:pStyle w:val="BodyText"/>
      </w:pPr>
      <w:r>
        <w:rPr>
          <w:iCs/>
          <w:i/>
        </w:rPr>
        <w:t xml:space="preserve">This Sales Report serves as a strategic roadmap for continued leadership in Architectural Services across Mexico City and the broader Mexican market. The success is measured not just in revenue, but in building relationships and creating landmarks that define Mexico City's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Architectural Services in Mexico City</dc:title>
  <dc:creator/>
  <dc:language>en</dc:language>
  <cp:keywords/>
  <dcterms:created xsi:type="dcterms:W3CDTF">2026-07-24T01:12:30Z</dcterms:created>
  <dcterms:modified xsi:type="dcterms:W3CDTF">2026-07-24T01:12:30Z</dcterms:modified>
</cp:coreProperties>
</file>

<file path=docProps/custom.xml><?xml version="1.0" encoding="utf-8"?>
<Properties xmlns="http://schemas.openxmlformats.org/officeDocument/2006/custom-properties" xmlns:vt="http://schemas.openxmlformats.org/officeDocument/2006/docPropsVTypes"/>
</file>