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p>
    <w:bookmarkStart w:id="30" w:name="X1f86b0a1aa428e0faa4cfb3419a08b12a6773d6"/>
    <w:p>
      <w:pPr>
        <w:pStyle w:val="Heading1"/>
      </w:pPr>
      <w:r>
        <w:t xml:space="preserve">Sales Report: Architectural Excellence Driving Growth in Morocco Casablanca</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Reporting Period:</w:t>
      </w:r>
      <w:r>
        <w:t xml:space="preserve"> </w:t>
      </w:r>
      <w:r>
        <w:t xml:space="preserve">Q3 2023</w:t>
      </w:r>
    </w:p>
    <w:bookmarkStart w:id="20" w:name="i.-executive-summary"/>
    <w:p>
      <w:pPr>
        <w:pStyle w:val="Heading2"/>
      </w:pPr>
      <w:r>
        <w:t xml:space="preserve">I. Executive Summary</w:t>
      </w:r>
    </w:p>
    <w:p>
      <w:pPr>
        <w:pStyle w:val="FirstParagraph"/>
      </w:pPr>
      <w:r>
        <w:t xml:space="preserve">This comprehensive Sales Report details the architectural service performance of our firm in Morocco Casablanca during Q3 2023. As the premier Architect serving North Africa's commercial hub, our team achieved a remarkable 18% year-over-year sales growth, securing contracts totaling MAD 47.8 million (approximately USD $5.1 million). This success underscores Morocco Casablanca's position as a pivotal market for high-end architectural innovation and confirms our strategic focus on this dynamic region. The report analyzes project acquisitions, client retention metrics, and market trends specific to the Moroccan architectural landscape.</w:t>
      </w:r>
    </w:p>
    <w:bookmarkEnd w:id="20"/>
    <w:bookmarkStart w:id="21" w:name="X667f3226b78823f2dbcade5f95548fc3b8b767b"/>
    <w:p>
      <w:pPr>
        <w:pStyle w:val="Heading2"/>
      </w:pPr>
      <w:r>
        <w:t xml:space="preserve">II. Market Context: Morocco Casablanca's Architectural Landscape</w:t>
      </w:r>
    </w:p>
    <w:p>
      <w:pPr>
        <w:pStyle w:val="FirstParagraph"/>
      </w:pPr>
      <w:r>
        <w:t xml:space="preserve">Morocco Casablanca continues to drive North Africa's construction boom with its status as the economic capital and primary gateway for international investment. As the nation's largest city (pop. 4M+), Casablanca represents 35% of Morocco's GDP and features ambitious urban development initiatives under Vision 2030. This environment creates exceptional demand for forward-thinking Architect services across luxury residential, commercial, and sustainable infrastructure sectors.</w:t>
      </w:r>
    </w:p>
    <w:p>
      <w:pPr>
        <w:pStyle w:val="BodyText"/>
      </w:pPr>
      <w:r>
        <w:t xml:space="preserve">Key market indicators supporting our sales performance include:</w:t>
      </w:r>
    </w:p>
    <w:p>
      <w:pPr>
        <w:numPr>
          <w:ilvl w:val="0"/>
          <w:numId w:val="1001"/>
        </w:numPr>
        <w:pStyle w:val="Compact"/>
      </w:pPr>
      <w:r>
        <w:rPr>
          <w:bCs/>
          <w:b/>
        </w:rPr>
        <w:t xml:space="preserve">Government Investment:</w:t>
      </w:r>
      <w:r>
        <w:t xml:space="preserve"> </w:t>
      </w:r>
      <w:r>
        <w:t xml:space="preserve">42% YoY increase in public sector architectural projects (e.g., Hassan II Mosque expansion, Casablanca Finance City Phase II)</w:t>
      </w:r>
    </w:p>
    <w:p>
      <w:pPr>
        <w:numPr>
          <w:ilvl w:val="0"/>
          <w:numId w:val="1001"/>
        </w:numPr>
        <w:pStyle w:val="Compact"/>
      </w:pPr>
      <w:r>
        <w:rPr>
          <w:bCs/>
          <w:b/>
        </w:rPr>
        <w:t xml:space="preserve">Tourism Surge:</w:t>
      </w:r>
      <w:r>
        <w:t xml:space="preserve"> </w:t>
      </w:r>
      <w:r>
        <w:t xml:space="preserve">28% visitor growth since 2021 driving demand for boutique hotel and resort architecture</w:t>
      </w:r>
    </w:p>
    <w:p>
      <w:pPr>
        <w:numPr>
          <w:ilvl w:val="0"/>
          <w:numId w:val="1001"/>
        </w:numPr>
        <w:pStyle w:val="Compact"/>
      </w:pPr>
      <w:r>
        <w:rPr>
          <w:bCs/>
          <w:b/>
        </w:rPr>
        <w:t xml:space="preserve">Sustainability Mandates:</w:t>
      </w:r>
      <w:r>
        <w:t xml:space="preserve"> </w:t>
      </w:r>
      <w:r>
        <w:t xml:space="preserve">New Moroccan building codes requiring 35% green materials in all new constructions (Law 17-19)</w:t>
      </w:r>
    </w:p>
    <w:bookmarkEnd w:id="21"/>
    <w:bookmarkStart w:id="25" w:name="iii.-sales-performance-analysis-q3-2023"/>
    <w:p>
      <w:pPr>
        <w:pStyle w:val="Heading2"/>
      </w:pPr>
      <w:r>
        <w:t xml:space="preserve">III. Sales Performance Analysis: Q3 2023</w:t>
      </w:r>
    </w:p>
    <w:bookmarkStart w:id="22" w:name="a.-contract-acquisition-breakdown"/>
    <w:p>
      <w:pPr>
        <w:pStyle w:val="Heading3"/>
      </w:pPr>
      <w:r>
        <w:t xml:space="preserve">A. Contract Acquisition Breakdown</w:t>
      </w:r>
    </w:p>
    <w:p>
      <w:pPr>
        <w:pStyle w:val="FirstParagraph"/>
      </w:pPr>
      <w:r>
        <w:t xml:space="preserve">Project Type</w:t>
      </w:r>
    </w:p>
    <w:p>
      <w:pPr>
        <w:pStyle w:val="BodyText"/>
      </w:pPr>
      <w:r>
        <w:t xml:space="preserve">Number of Contracts</w:t>
      </w:r>
    </w:p>
    <w:p>
      <w:pPr>
        <w:pStyle w:val="BodyText"/>
      </w:pPr>
      <w:r>
        <w:t xml:space="preserve">% of Total Revenue</w:t>
      </w:r>
    </w:p>
    <w:p>
      <w:pPr>
        <w:pStyle w:val="BodyText"/>
      </w:pPr>
      <w:r>
        <w:t xml:space="preserve">Key Clients (Morocco Casablanca)</w:t>
      </w:r>
    </w:p>
    <w:p>
      <w:pPr>
        <w:pStyle w:val="BodyText"/>
      </w:pPr>
      <w:r>
        <w:t xml:space="preserve">Luxury Residential (Villas &amp; Condos)</w:t>
      </w:r>
    </w:p>
    <w:p>
      <w:pPr>
        <w:pStyle w:val="BodyText"/>
      </w:pPr>
      <w:r>
        <w:t xml:space="preserve">14</w:t>
      </w:r>
    </w:p>
    <w:p>
      <w:pPr>
        <w:pStyle w:val="BodyText"/>
      </w:pPr>
      <w:r>
        <w:t xml:space="preserve">42%</w:t>
      </w:r>
    </w:p>
    <w:p>
      <w:pPr>
        <w:pStyle w:val="BodyText"/>
      </w:pPr>
      <w:r>
        <w:t xml:space="preserve">Casablanca Real Estate Group, Al-Aoussaa Holdings</w:t>
      </w:r>
    </w:p>
    <w:p>
      <w:pPr>
        <w:pStyle w:val="BodyText"/>
      </w:pPr>
      <w:r>
        <w:t xml:space="preserve">Commercial Infrastructure</w:t>
      </w:r>
    </w:p>
    <w:p>
      <w:pPr>
        <w:pStyle w:val="BodyText"/>
      </w:pPr>
      <w:r>
        <w:t xml:space="preserve">937%</w:t>
      </w:r>
    </w:p>
    <w:p>
      <w:pPr>
        <w:pStyle w:val="BodyText"/>
      </w:pPr>
      <w:r>
        <w:t xml:space="preserve">Total Revenue (MAD)</w:t>
      </w:r>
    </w:p>
    <w:p>
      <w:pPr>
        <w:pStyle w:val="BodyText"/>
      </w:pPr>
      <w:r>
        <w:t xml:space="preserve">47.8 million (USD 5.1M)</w:t>
      </w:r>
    </w:p>
    <w:bookmarkEnd w:id="22"/>
    <w:bookmarkStart w:id="23" w:name="b.-strategic-client-acquisition"/>
    <w:p>
      <w:pPr>
        <w:pStyle w:val="Heading3"/>
      </w:pPr>
      <w:r>
        <w:t xml:space="preserve">B. Strategic Client Acquisition</w:t>
      </w:r>
    </w:p>
    <w:p>
      <w:pPr>
        <w:pStyle w:val="FirstParagraph"/>
      </w:pPr>
      <w:r>
        <w:t xml:space="preserve">Our sales team secured three landmark contracts representing 62% of quarterly revenue:</w:t>
      </w:r>
    </w:p>
    <w:p>
      <w:pPr>
        <w:numPr>
          <w:ilvl w:val="0"/>
          <w:numId w:val="1002"/>
        </w:numPr>
        <w:pStyle w:val="Compact"/>
      </w:pPr>
      <w:r>
        <w:rPr>
          <w:bCs/>
          <w:b/>
        </w:rPr>
        <w:t xml:space="preserve">Casablanca Skyline Tower:</w:t>
      </w:r>
      <w:r>
        <w:t xml:space="preserve"> </w:t>
      </w:r>
      <w:r>
        <w:t xml:space="preserve">$18M contract for mixed-use skyscraper (45 floors) in the new financial district, featuring carbon-neutral design. Signed with Morocco's largest private developer, Attijariwafa Bank.</w:t>
      </w:r>
    </w:p>
    <w:p>
      <w:pPr>
        <w:numPr>
          <w:ilvl w:val="0"/>
          <w:numId w:val="1002"/>
        </w:numPr>
        <w:pStyle w:val="Compact"/>
      </w:pPr>
      <w:r>
        <w:rPr>
          <w:bCs/>
          <w:b/>
        </w:rPr>
        <w:t xml:space="preserve">Azrou Mountain Resort:</w:t>
      </w:r>
      <w:r>
        <w:t xml:space="preserve"> </w:t>
      </w:r>
      <w:r>
        <w:t xml:space="preserve">$9.3M project for eco-luxury resort integrating Berber architecture with modern sustainability systems. Client: Moroccan Tourism Development Authority.</w:t>
      </w:r>
    </w:p>
    <w:p>
      <w:pPr>
        <w:numPr>
          <w:ilvl w:val="0"/>
          <w:numId w:val="1002"/>
        </w:numPr>
        <w:pStyle w:val="Compact"/>
      </w:pPr>
      <w:r>
        <w:rPr>
          <w:bCs/>
          <w:b/>
        </w:rPr>
        <w:t xml:space="preserve">Souissi Business Park Expansion:</w:t>
      </w:r>
      <w:r>
        <w:t xml:space="preserve"> </w:t>
      </w:r>
      <w:r>
        <w:t xml:space="preserve">$8.5M contract for LEED Platinum-certified commercial hub serving 200+ tech firms. Partner: Casablanca Technology Cluster.</w:t>
      </w:r>
    </w:p>
    <w:bookmarkEnd w:id="23"/>
    <w:bookmarkStart w:id="24" w:name="c.-retention-referral-performance"/>
    <w:p>
      <w:pPr>
        <w:pStyle w:val="Heading3"/>
      </w:pPr>
      <w:r>
        <w:t xml:space="preserve">C. Retention &amp; Referral Performance</w:t>
      </w:r>
    </w:p>
    <w:p>
      <w:pPr>
        <w:pStyle w:val="FirstParagraph"/>
      </w:pPr>
      <w:r>
        <w:t xml:space="preserve">Client retention reached 94% (vs. industry avg. 81%), with existing clients generating 47% of new business through referrals – a direct testament to our Architect's ability to deliver exceptional value in the Morocco Casablanca market. The most significant referral came from an established client who secured us the Azrou Mountain Resort project after our successful completion of their downtown residential complex.</w:t>
      </w:r>
    </w:p>
    <w:bookmarkEnd w:id="24"/>
    <w:bookmarkEnd w:id="25"/>
    <w:bookmarkStart w:id="26" w:name="Xe26639f816914bc1cfac3ad1f7e919c8ce4a80a"/>
    <w:p>
      <w:pPr>
        <w:pStyle w:val="Heading2"/>
      </w:pPr>
      <w:r>
        <w:t xml:space="preserve">IV. Competitive Differentiation: Why Our Architect Outperforms</w:t>
      </w:r>
    </w:p>
    <w:p>
      <w:pPr>
        <w:pStyle w:val="FirstParagraph"/>
      </w:pPr>
      <w:r>
        <w:t xml:space="preserve">Several strategic advantages drive our sales success in Morocco Casablanca:</w:t>
      </w:r>
    </w:p>
    <w:p>
      <w:pPr>
        <w:numPr>
          <w:ilvl w:val="0"/>
          <w:numId w:val="1003"/>
        </w:numPr>
        <w:pStyle w:val="Compact"/>
      </w:pPr>
      <w:r>
        <w:rPr>
          <w:bCs/>
          <w:b/>
        </w:rPr>
        <w:t xml:space="preserve">Cultural Integration:</w:t>
      </w:r>
      <w:r>
        <w:t xml:space="preserve"> </w:t>
      </w:r>
      <w:r>
        <w:t xml:space="preserve">Our team includes 8 Moroccan architects fluent in local design traditions (e.g., zellige, riad layouts) combined with international BIM expertise – a critical factor for client trust.</w:t>
      </w:r>
    </w:p>
    <w:p>
      <w:pPr>
        <w:numPr>
          <w:ilvl w:val="0"/>
          <w:numId w:val="1003"/>
        </w:numPr>
        <w:pStyle w:val="Compact"/>
      </w:pPr>
      <w:r>
        <w:rPr>
          <w:bCs/>
          <w:b/>
        </w:rPr>
        <w:t xml:space="preserve">Sustainability Leadership:</w:t>
      </w:r>
      <w:r>
        <w:t xml:space="preserve"> </w:t>
      </w:r>
      <w:r>
        <w:t xml:space="preserve">100% of Q3 projects achieved at least LEED Silver certification, exceeding the new Moroccan regulatory standards and appealing to ESG-focused developers.</w:t>
      </w:r>
    </w:p>
    <w:p>
      <w:pPr>
        <w:numPr>
          <w:ilvl w:val="0"/>
          <w:numId w:val="1003"/>
        </w:numPr>
        <w:pStyle w:val="Compact"/>
      </w:pPr>
      <w:r>
        <w:rPr>
          <w:bCs/>
          <w:b/>
        </w:rPr>
        <w:t xml:space="preserve">Digital Transformation:</w:t>
      </w:r>
      <w:r>
        <w:t xml:space="preserve"> </w:t>
      </w:r>
      <w:r>
        <w:t xml:space="preserve">Implementation of AI-driven site analysis tools reduced design phase timelines by 32%, a key selling point for time-sensitive Casablanca developers.</w:t>
      </w:r>
    </w:p>
    <w:p>
      <w:pPr>
        <w:numPr>
          <w:ilvl w:val="0"/>
          <w:numId w:val="1003"/>
        </w:numPr>
        <w:pStyle w:val="Compact"/>
      </w:pPr>
      <w:r>
        <w:rPr>
          <w:bCs/>
          <w:b/>
        </w:rPr>
        <w:t xml:space="preserve">Government Relations:</w:t>
      </w:r>
      <w:r>
        <w:t xml:space="preserve"> </w:t>
      </w:r>
      <w:r>
        <w:t xml:space="preserve">Established partnerships with Morocco's Ministry of Urban Planning and Casablanca City Council enabling faster permitting approvals.</w:t>
      </w:r>
    </w:p>
    <w:bookmarkEnd w:id="26"/>
    <w:bookmarkStart w:id="27" w:name="v.-challenges-mitigation-strategies"/>
    <w:p>
      <w:pPr>
        <w:pStyle w:val="Heading2"/>
      </w:pPr>
      <w:r>
        <w:t xml:space="preserve">V. Challenges &amp; Mitigation Strategies</w:t>
      </w:r>
    </w:p>
    <w:p>
      <w:pPr>
        <w:pStyle w:val="FirstParagraph"/>
      </w:pPr>
      <w:r>
        <w:t xml:space="preserve">We identified three market-specific challenges requiring strategic adaptation:</w:t>
      </w:r>
    </w:p>
    <w:p>
      <w:pPr>
        <w:numPr>
          <w:ilvl w:val="0"/>
          <w:numId w:val="1004"/>
        </w:numPr>
        <w:pStyle w:val="Compact"/>
      </w:pPr>
      <w:r>
        <w:rPr>
          <w:bCs/>
          <w:b/>
        </w:rPr>
        <w:t xml:space="preserve">Material Supply Chain Delays:</w:t>
      </w:r>
      <w:r>
        <w:t xml:space="preserve"> </w:t>
      </w:r>
      <w:r>
        <w:t xml:space="preserve">17% of projects faced 3-4 week delays due to port congestion at Casablanca's Port of Mohammedia. *Mitigation:* Signed direct partnerships with Moroccan cement manufacturers and local timber suppliers, reducing lead times by 60%.</w:t>
      </w:r>
    </w:p>
    <w:p>
      <w:pPr>
        <w:numPr>
          <w:ilvl w:val="0"/>
          <w:numId w:val="1004"/>
        </w:numPr>
        <w:pStyle w:val="Compact"/>
      </w:pPr>
      <w:r>
        <w:rPr>
          <w:bCs/>
          <w:b/>
        </w:rPr>
        <w:t xml:space="preserve">Regulatory Complexity:</w:t>
      </w:r>
      <w:r>
        <w:t xml:space="preserve"> </w:t>
      </w:r>
      <w:r>
        <w:t xml:space="preserve">Evolving building codes under Morocco's urban renewal programs. *Mitigation:* Dedicated compliance team embedded in our Casablanca office providing real-time regulatory updates to design teams.</w:t>
      </w:r>
    </w:p>
    <w:p>
      <w:pPr>
        <w:numPr>
          <w:ilvl w:val="0"/>
          <w:numId w:val="1004"/>
        </w:numPr>
        <w:pStyle w:val="Compact"/>
      </w:pPr>
      <w:r>
        <w:rPr>
          <w:bCs/>
          <w:b/>
        </w:rPr>
        <w:t xml:space="preserve">Competition from International Firms:</w:t>
      </w:r>
      <w:r>
        <w:t xml:space="preserve"> </w:t>
      </w:r>
      <w:r>
        <w:t xml:space="preserve">Increased bids from European architecture studios. *Mitigation:* Emphasized our local market knowledge through "Casablanca Design Forums" attended by 120+ key stakeholders, establishing thought leadership.</w:t>
      </w:r>
    </w:p>
    <w:bookmarkEnd w:id="27"/>
    <w:bookmarkStart w:id="28" w:name="vi.-forward-looking-recommendations"/>
    <w:p>
      <w:pPr>
        <w:pStyle w:val="Heading2"/>
      </w:pPr>
      <w:r>
        <w:t xml:space="preserve">VI. Forward-Looking Recommendations</w:t>
      </w:r>
    </w:p>
    <w:p>
      <w:pPr>
        <w:pStyle w:val="FirstParagraph"/>
      </w:pPr>
      <w:r>
        <w:t xml:space="preserve">To sustain growth in Morocco Casablanca, we recommend:</w:t>
      </w:r>
    </w:p>
    <w:p>
      <w:pPr>
        <w:numPr>
          <w:ilvl w:val="0"/>
          <w:numId w:val="1005"/>
        </w:numPr>
        <w:pStyle w:val="Compact"/>
      </w:pPr>
      <w:r>
        <w:rPr>
          <w:bCs/>
          <w:b/>
        </w:rPr>
        <w:t xml:space="preserve">Expand Residential Focus:</w:t>
      </w:r>
      <w:r>
        <w:t xml:space="preserve"> </w:t>
      </w:r>
      <w:r>
        <w:t xml:space="preserve">Target 35% of new contracts toward luxury housing (currently at 42%) as Casablanca's middle class expands.</w:t>
      </w:r>
    </w:p>
    <w:p>
      <w:pPr>
        <w:numPr>
          <w:ilvl w:val="0"/>
          <w:numId w:val="1005"/>
        </w:numPr>
        <w:pStyle w:val="Compact"/>
      </w:pPr>
      <w:r>
        <w:rPr>
          <w:bCs/>
          <w:b/>
        </w:rPr>
        <w:t xml:space="preserve">Develop AI Integration Suite:</w:t>
      </w:r>
      <w:r>
        <w:t xml:space="preserve"> </w:t>
      </w:r>
      <w:r>
        <w:t xml:space="preserve">Invest MAD 8M in custom BIM software for Moroccan climate-responsive design, addressing the #1 client request in our Q3 survey.</w:t>
      </w:r>
    </w:p>
    <w:p>
      <w:pPr>
        <w:numPr>
          <w:ilvl w:val="0"/>
          <w:numId w:val="1005"/>
        </w:numPr>
        <w:pStyle w:val="Compact"/>
      </w:pPr>
      <w:r>
        <w:rPr>
          <w:bCs/>
          <w:b/>
        </w:rPr>
        <w:t xml:space="preserve">Strengthen University Partnerships:</w:t>
      </w:r>
      <w:r>
        <w:t xml:space="preserve"> </w:t>
      </w:r>
      <w:r>
        <w:t xml:space="preserve">Collaborate with Hassan II University's Architecture School to create internship pipeline and research initiatives on sustainable desert architecture.</w:t>
      </w:r>
    </w:p>
    <w:bookmarkEnd w:id="28"/>
    <w:bookmarkStart w:id="29" w:name="X2559ea2cae4699c1a7bc3eed2db7d710fe8d89b"/>
    <w:p>
      <w:pPr>
        <w:pStyle w:val="Heading2"/>
      </w:pPr>
      <w:r>
        <w:t xml:space="preserve">VII. Conclusion: Architecting Morocco Casablanca's Future</w:t>
      </w:r>
    </w:p>
    <w:p>
      <w:pPr>
        <w:pStyle w:val="FirstParagraph"/>
      </w:pPr>
      <w:r>
        <w:t xml:space="preserve">This Sales Report confirms that our firm has established itself as the premier Architect partner for transformative projects across Morocco Casablanca. Our 18% revenue growth isn't merely a business metric – it represents tangible contributions to Casablanca's urban evolution, where every project advances sustainable development and cultural preservation. As the Moroccan government accelerates infrastructure spending (projected MAD 320 billion investment by 2025), our strategic positioning as locally rooted yet globally innovative architects ensures continued market leadership.</w:t>
      </w:r>
    </w:p>
    <w:p>
      <w:pPr>
        <w:pStyle w:val="BodyText"/>
      </w:pPr>
      <w:r>
        <w:t xml:space="preserve">With the Casablanca skyline rapidly transforming, our sales momentum demonstrates that architectural excellence directly correlates with commercial success in this dynamic market. We remain committed to delivering designs that honor Morocco's heritage while pioneering its future – a mission made possible by our unwavering focus on the unique demands of the Morocco Casablanca landscape. The next phase will see us target 25% revenue growth in Q4 through strategic partnerships with emerging green-tech firms in Casablanca's Eco-Industrial Park.</w:t>
      </w:r>
    </w:p>
    <w:p>
      <w:pPr>
        <w:pStyle w:val="BodyText"/>
      </w:pPr>
      <w:r>
        <w:rPr>
          <w:iCs/>
          <w:i/>
        </w:rPr>
        <w:t xml:space="preserve">"In Morocco Casablanca, we don't just design buildings – we shape communities and elevate the city's global architectural identity."</w:t>
      </w:r>
      <w:r>
        <w:t xml:space="preserve"> </w:t>
      </w:r>
      <w:r>
        <w:t xml:space="preserve">–</w:t>
      </w:r>
      <w:r>
        <w:t xml:space="preserve"> </w:t>
      </w:r>
      <w:r>
        <w:rPr>
          <w:bCs/>
          <w:b/>
        </w:rPr>
        <w:t xml:space="preserve">Marwa Benali, Principal Architect &amp; Sales Director</w:t>
      </w:r>
    </w:p>
    <w:p>
      <w:r>
        <w:pict>
          <v:rect style="width:0;height:1.5pt" o:hralign="center" o:hrstd="t" o:hr="t"/>
        </w:pict>
      </w:r>
    </w:p>
    <w:p>
      <w:pPr>
        <w:pStyle w:val="FirstParagraph"/>
      </w:pPr>
      <w:r>
        <w:rPr>
          <w:bCs/>
          <w:b/>
        </w:rPr>
        <w:t xml:space="preserve">Report End: Total Word Count - 847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Sales Performance Report: Morocco Casablanca</dc:title>
  <dc:creator/>
  <dc:language>en</dc:language>
  <cp:keywords/>
  <dcterms:created xsi:type="dcterms:W3CDTF">2025-12-11T16:08:25Z</dcterms:created>
  <dcterms:modified xsi:type="dcterms:W3CDTF">2025-12-11T16:08:25Z</dcterms:modified>
</cp:coreProperties>
</file>

<file path=docProps/custom.xml><?xml version="1.0" encoding="utf-8"?>
<Properties xmlns="http://schemas.openxmlformats.org/officeDocument/2006/custom-properties" xmlns:vt="http://schemas.openxmlformats.org/officeDocument/2006/docPropsVTypes"/>
</file>