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283e3b54f1982d4d4e5c4168379b892cdf01303"/>
    <w:p>
      <w:pPr>
        <w:pStyle w:val="Heading1"/>
      </w:pPr>
      <w:r>
        <w:t xml:space="preserve">Annual Sales Report: Architectural Excellence Driving Growth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&amp; Stakeholders</w:t>
      </w:r>
      <w:r>
        <w:br/>
      </w:r>
      <w:r>
        <w:rPr>
          <w:bCs/>
          <w:b/>
        </w:rPr>
        <w:t xml:space="preserve">Purpose:</w:t>
      </w:r>
      <w:r>
        <w:t xml:space="preserve"> </w:t>
      </w:r>
      <w:r>
        <w:t xml:space="preserve">Comprehensive analysis of sales performance, market positioning, and strategic opportunities for Architectural Services in Myanmar Yangon</w:t>
      </w:r>
    </w:p>
    <w:bookmarkStart w:id="20" w:name="i.-executive-summary"/>
    <w:p>
      <w:pPr>
        <w:pStyle w:val="Heading2"/>
      </w:pPr>
      <w:r>
        <w:t xml:space="preserve">I. Executive Summary</w:t>
      </w:r>
    </w:p>
    <w:p>
      <w:pPr>
        <w:pStyle w:val="FirstParagraph"/>
      </w:pPr>
      <w:r>
        <w:t xml:space="preserve">This Sales Report details the exceptional performance of our architectural firm across the dynamic landscape of Myanmar Yangon during fiscal year 2023. Despite regional economic headwinds, our firm achieved a remarkable 45% year-over-year revenue growth, solidifying our position as a leading provider of innovative Architectural solutions in Yangon's rapidly evolving urban environment. This success stems from strategic market penetration, deep understanding of Myanmar Yangon's unique development challenges, and an unwavering commitment to delivering value through exceptional Architect services. The report underscores how our integrated approach to design, compliance with local regulations (including Myanmar Building Codes), and responsiveness to Yangon-specific client needs have directly driven sales growth.</w:t>
      </w:r>
    </w:p>
    <w:bookmarkEnd w:id="20"/>
    <w:bookmarkStart w:id="21" w:name="X986eb366a222a8098dda7754ae1c36b1453c70d"/>
    <w:p>
      <w:pPr>
        <w:pStyle w:val="Heading2"/>
      </w:pPr>
      <w:r>
        <w:t xml:space="preserve">II. Market Context: Myanmar Yangon's Architectural Landscape</w:t>
      </w:r>
    </w:p>
    <w:p>
      <w:pPr>
        <w:pStyle w:val="FirstParagraph"/>
      </w:pPr>
      <w:r>
        <w:t xml:space="preserve">Myanmar Yangon remains the epicenter of commercial and residential development in Southeast Asia, with a construction sector projected to grow at 15% annually (World Bank, 2023). This boom is fueled by foreign investment influx, domestic middle-class expansion, and government initiatives like the Yangon City Development Committee's "Smart City Master Plan." Crucially for Architect services, Yangon's market demands not just aesthetic design but also resilience against monsoon seasons, seismic considerations specific to the Irrawaddy Delta region, and adherence to Myanmar cultural sensibilities in high-profile projects. Our Sales Report highlights that clients increasingly prioritize Architects who understand these nuances over generic international firms.</w:t>
      </w:r>
    </w:p>
    <w:p>
      <w:pPr>
        <w:pStyle w:val="BodyText"/>
      </w:pPr>
      <w:r>
        <w:t xml:space="preserve">Key drivers impacting our sales pipeline in Myanmar Yangon include:</w:t>
      </w:r>
    </w:p>
    <w:p>
      <w:pPr>
        <w:numPr>
          <w:ilvl w:val="0"/>
          <w:numId w:val="1001"/>
        </w:numPr>
        <w:pStyle w:val="Compact"/>
      </w:pPr>
      <w:r>
        <w:t xml:space="preserve">The surge in mixed-use developments (e.g., Shwe Pyi Thar, One City Center)</w:t>
      </w:r>
    </w:p>
    <w:p>
      <w:pPr>
        <w:numPr>
          <w:ilvl w:val="0"/>
          <w:numId w:val="1001"/>
        </w:numPr>
        <w:pStyle w:val="Compact"/>
      </w:pPr>
      <w:r>
        <w:t xml:space="preserve">Increased demand for sustainable architecture due to rising energy costs</w:t>
      </w:r>
    </w:p>
    <w:p>
      <w:pPr>
        <w:numPr>
          <w:ilvl w:val="0"/>
          <w:numId w:val="1001"/>
        </w:numPr>
        <w:pStyle w:val="Compact"/>
      </w:pPr>
      <w:r>
        <w:t xml:space="preserve">Post-pandemic office space revitalization efforts across Yangon's Central Business District</w:t>
      </w:r>
    </w:p>
    <w:bookmarkEnd w:id="21"/>
    <w:bookmarkStart w:id="22" w:name="X4a83f4a6b65ac5249129df4ae13b8fab6cd56c8"/>
    <w:p>
      <w:pPr>
        <w:pStyle w:val="Heading2"/>
      </w:pPr>
      <w:r>
        <w:t xml:space="preserve">III. Sales Performance Highlights (Myanmar Yangon Focus)</w:t>
      </w:r>
    </w:p>
    <w:p>
      <w:pPr>
        <w:pStyle w:val="FirstParagraph"/>
      </w:pPr>
      <w:r>
        <w:t xml:space="preserve">This year, our Architect firm secured 32 new client engagements in Myanmar Yangon, representing a 41% increase from 2022. Total revenue generated from Yangon-based projects reached MMK 18.7 billion (USD $10.8 million), accounting for 78% of our total firm revenue – a significant market share dominance driven by client loyalty and strategic positioning.</w:t>
      </w:r>
    </w:p>
    <w:p>
      <w:pPr>
        <w:pStyle w:val="BodyText"/>
      </w:pPr>
      <w:r>
        <w:t xml:space="preserve">Project Type</w:t>
      </w:r>
    </w:p>
    <w:p>
      <w:pPr>
        <w:pStyle w:val="BodyText"/>
      </w:pPr>
      <w:r>
        <w:t xml:space="preserve">2022 Projects</w:t>
      </w:r>
    </w:p>
    <w:p>
      <w:pPr>
        <w:pStyle w:val="BodyText"/>
      </w:pPr>
      <w:r>
        <w:t xml:space="preserve">2023 Projects</w:t>
      </w:r>
    </w:p>
    <w:p>
      <w:pPr>
        <w:pStyle w:val="BodyText"/>
      </w:pPr>
      <w:r>
        <w:t xml:space="preserve">% Growth (YoY)</w:t>
      </w:r>
    </w:p>
    <w:p>
      <w:pPr>
        <w:pStyle w:val="BodyText"/>
      </w:pPr>
      <w:r>
        <w:t xml:space="preserve">Luxury Residential (Yangon Riverfront)</w:t>
      </w:r>
    </w:p>
    <w:p>
      <w:pPr>
        <w:pStyle w:val="BodyText"/>
      </w:pPr>
      <w:r>
        <w:t xml:space="preserve">8</w:t>
      </w:r>
    </w:p>
    <w:p>
      <w:pPr>
        <w:pStyle w:val="BodyText"/>
      </w:pPr>
      <w:r>
        <w:t xml:space="preserve">14</w:t>
      </w:r>
    </w:p>
    <w:p>
      <w:pPr>
        <w:pStyle w:val="BodyText"/>
      </w:pPr>
      <w:r>
        <w:t xml:space="preserve">75%</w:t>
      </w:r>
    </w:p>
    <w:p>
      <w:pPr>
        <w:pStyle w:val="BodyText"/>
      </w:pPr>
      <w:r>
        <w:t xml:space="preserve">Eco-Commercial Complexes (Downtown Yangon)</w:t>
      </w:r>
    </w:p>
    <w:p>
      <w:pPr>
        <w:pStyle w:val="BodyText"/>
      </w:pPr>
      <w:r>
        <w:t xml:space="preserve">5</w:t>
      </w:r>
    </w:p>
    <w:p>
      <w:pPr>
        <w:pStyle w:val="BodyText"/>
      </w:pPr>
      <w:r>
        <w:t xml:space="preserve">A pivotal factor in our sales success was the strategic appointment of two senior Architects with deep Myanmar local network connections. These professionals significantly accelerated deal closures by navigating complex land ownership dynamics and government approvals – common hurdles for foreign Architect firms in Yangon. Our Sales Report emphasizes that "trusted local counsel" has become a critical differentiator, directly influencing client acquisition rates by 32%.</w:t>
      </w:r>
    </w:p>
    <w:bookmarkEnd w:id="22"/>
    <w:bookmarkStart w:id="23" w:name="X4b47b15188e11a15b748a0da280ad3ba0dbd3a9"/>
    <w:p>
      <w:pPr>
        <w:pStyle w:val="Heading2"/>
      </w:pPr>
      <w:r>
        <w:t xml:space="preserve">IV. Client Success Stories: The Architect's Value Proposition</w:t>
      </w:r>
    </w:p>
    <w:p>
      <w:pPr>
        <w:pStyle w:val="FirstParagraph"/>
      </w:pPr>
      <w:r>
        <w:rPr>
          <w:bCs/>
          <w:b/>
        </w:rPr>
        <w:t xml:space="preserve">Case Study 1: The Shwe Pyi Thar Residences (Yangon)</w:t>
      </w:r>
    </w:p>
    <w:p>
      <w:pPr>
        <w:pStyle w:val="BodyText"/>
      </w:pPr>
      <w:r>
        <w:t xml:space="preserve">This high-end residential project required meticulous cultural integration – incorporating traditional Burmese *Htaw* patterns into modern façades while ensuring structural integrity against Yangon's monsoon rains. Our Architect team’s understanding of local material sourcing and climate-responsive design was the decisive factor for the client, resulting in a $4.2 million contract and referral to three additional high-net-worth clients.</w:t>
      </w:r>
    </w:p>
    <w:p>
      <w:pPr>
        <w:pStyle w:val="BodyText"/>
      </w:pPr>
      <w:r>
        <w:rPr>
          <w:bCs/>
          <w:b/>
        </w:rPr>
        <w:t xml:space="preserve">Case Study 2: Mekong Gateway Office Complex (Downtown Yangon)</w:t>
      </w:r>
    </w:p>
    <w:p>
      <w:pPr>
        <w:pStyle w:val="BodyText"/>
      </w:pPr>
      <w:r>
        <w:t xml:space="preserve">The client initially sought a generic international firm but selected us after our Architect team presented a localized sustainability plan addressing Yangon's power grid limitations. Our design incorporated solar-ready infrastructure and natural ventilation, reducing projected operational costs by 28%. This solution directly translated into a $6.1 million commission and positioned us as the preferred Architect for future commercial developments in Myanmar Yangon.</w:t>
      </w:r>
    </w:p>
    <w:bookmarkEnd w:id="23"/>
    <w:bookmarkStart w:id="24" w:name="v.-challenges-strategic-adaptations"/>
    <w:p>
      <w:pPr>
        <w:pStyle w:val="Heading2"/>
      </w:pPr>
      <w:r>
        <w:t xml:space="preserve">V. Challenges &amp; Strategic Adaptations</w:t>
      </w:r>
    </w:p>
    <w:p>
      <w:pPr>
        <w:pStyle w:val="FirstParagraph"/>
      </w:pPr>
      <w:r>
        <w:t xml:space="preserve">Myanmar Yangon’s market presents unique challenges that directly impact architectural sales cycles:</w:t>
      </w:r>
    </w:p>
    <w:p>
      <w:pPr>
        <w:numPr>
          <w:ilvl w:val="0"/>
          <w:numId w:val="1002"/>
        </w:numPr>
        <w:pStyle w:val="Compact"/>
      </w:pPr>
      <w:r>
        <w:rPr>
          <w:bCs/>
          <w:b/>
        </w:rPr>
        <w:t xml:space="preserve">Regulatory Complexity:</w:t>
      </w:r>
      <w:r>
        <w:t xml:space="preserve"> </w:t>
      </w:r>
      <w:r>
        <w:t xml:space="preserve">Navigating the Myanmar Building Code updates required dedicated legal/Architect teams, extending initial proposal timelines by 15-20%. Our Sales Report confirms this is now a standard part of our client onboarding process.</w:t>
      </w:r>
    </w:p>
    <w:p>
      <w:pPr>
        <w:numPr>
          <w:ilvl w:val="0"/>
          <w:numId w:val="1002"/>
        </w:numPr>
        <w:pStyle w:val="Compact"/>
      </w:pPr>
      <w:r>
        <w:rPr>
          <w:bCs/>
          <w:b/>
        </w:rPr>
        <w:t xml:space="preserve">Currency Volatility:</w:t>
      </w:r>
      <w:r>
        <w:t xml:space="preserve"> </w:t>
      </w:r>
      <w:r>
        <w:t xml:space="preserve">Fluctuations in MMK/USD impacted budgeting. We introduced fixed-price service agreements (approved by Myanmar Financial Regulatory Authority), increasing client trust and closing rates by 23%.</w:t>
      </w:r>
    </w:p>
    <w:p>
      <w:pPr>
        <w:numPr>
          <w:ilvl w:val="0"/>
          <w:numId w:val="1002"/>
        </w:numPr>
        <w:pStyle w:val="Compact"/>
      </w:pPr>
      <w:r>
        <w:rPr>
          <w:bCs/>
          <w:b/>
        </w:rPr>
        <w:t xml:space="preserve">Local Competition:</w:t>
      </w:r>
      <w:r>
        <w:t xml:space="preserve"> </w:t>
      </w:r>
      <w:r>
        <w:t xml:space="preserve">Rising local Architect firms demanding lower fees. Our response – emphasizing *value* over price through comprehensive post-occupancy evaluations – secured 58% of new contracts despite competitive pricing pressure.</w:t>
      </w:r>
    </w:p>
    <w:bookmarkEnd w:id="24"/>
    <w:bookmarkStart w:id="25" w:name="Xf54112c3e348c31e94cc0255844473048aa0273"/>
    <w:p>
      <w:pPr>
        <w:pStyle w:val="Heading2"/>
      </w:pPr>
      <w:r>
        <w:t xml:space="preserve">VI. Future Outlook &amp; Strategic Recommendations for Myanmar Yangon</w:t>
      </w:r>
    </w:p>
    <w:p>
      <w:pPr>
        <w:pStyle w:val="FirstParagraph"/>
      </w:pPr>
      <w:r>
        <w:t xml:space="preserve">Based on our 2023 Sales Report, we project a minimum 35% growth in Architect services revenue for Myanmar Yangon in 2024. This is driven by:</w:t>
      </w:r>
    </w:p>
    <w:p>
      <w:pPr>
        <w:numPr>
          <w:ilvl w:val="0"/>
          <w:numId w:val="1003"/>
        </w:numPr>
        <w:pStyle w:val="Compact"/>
      </w:pPr>
      <w:r>
        <w:rPr>
          <w:bCs/>
          <w:b/>
        </w:rPr>
        <w:t xml:space="preserve">Infrastructure Expansion:</w:t>
      </w:r>
      <w:r>
        <w:t xml:space="preserve"> </w:t>
      </w:r>
      <w:r>
        <w:t xml:space="preserve">The Yangon Metro Rail project will create demand for transit-oriented Architectural planning.</w:t>
      </w:r>
    </w:p>
    <w:p>
      <w:pPr>
        <w:numPr>
          <w:ilvl w:val="0"/>
          <w:numId w:val="1003"/>
        </w:numPr>
        <w:pStyle w:val="Compact"/>
      </w:pPr>
      <w:r>
        <w:rPr>
          <w:bCs/>
          <w:b/>
        </w:rPr>
        <w:t xml:space="preserve">Sustainability Mandates:</w:t>
      </w:r>
      <w:r>
        <w:t xml:space="preserve"> </w:t>
      </w:r>
      <w:r>
        <w:t xml:space="preserve">Government push for green buildings (e.g., Myanmar Green Building Council standards) creates a new sales vertical.</w:t>
      </w:r>
    </w:p>
    <w:p>
      <w:pPr>
        <w:numPr>
          <w:ilvl w:val="0"/>
          <w:numId w:val="1003"/>
        </w:numPr>
        <w:pStyle w:val="Compact"/>
      </w:pPr>
      <w:r>
        <w:rPr>
          <w:bCs/>
          <w:b/>
        </w:rPr>
        <w:t xml:space="preserve">Digital Transformation:</w:t>
      </w:r>
      <w:r>
        <w:t xml:space="preserve"> </w:t>
      </w:r>
      <w:r>
        <w:t xml:space="preserve">We are launching an AI-powered design platform tailored to Yangon's climate data, poised to become a key sales differentiator.</w:t>
      </w:r>
    </w:p>
    <w:p>
      <w:pPr>
        <w:pStyle w:val="FirstParagraph"/>
      </w:pPr>
      <w:r>
        <w:t xml:space="preserve">Our strategic recommendations include:</w:t>
      </w:r>
    </w:p>
    <w:p>
      <w:pPr>
        <w:numPr>
          <w:ilvl w:val="0"/>
          <w:numId w:val="1004"/>
        </w:numPr>
        <w:pStyle w:val="Compact"/>
      </w:pPr>
      <w:r>
        <w:t xml:space="preserve">Establishing a dedicated Myanmar Yangon client success team for post-project engagement</w:t>
      </w:r>
    </w:p>
    <w:p>
      <w:pPr>
        <w:numPr>
          <w:ilvl w:val="0"/>
          <w:numId w:val="1004"/>
        </w:numPr>
        <w:pStyle w:val="Compact"/>
      </w:pPr>
      <w:r>
        <w:t xml:space="preserve">Partnering with 2-3 local construction firms to streamline the Architect-to-contractor handoff process</w:t>
      </w:r>
    </w:p>
    <w:p>
      <w:pPr>
        <w:numPr>
          <w:ilvl w:val="0"/>
          <w:numId w:val="1004"/>
        </w:numPr>
        <w:pStyle w:val="Compact"/>
      </w:pPr>
      <w:r>
        <w:t xml:space="preserve">Investing in workshops on Myanmar Building Code updates for our Architect staff (critical for sales credibility)</w:t>
      </w:r>
    </w:p>
    <w:bookmarkEnd w:id="25"/>
    <w:bookmarkStart w:id="26" w:name="vii.-conclusion"/>
    <w:p>
      <w:pPr>
        <w:pStyle w:val="Heading2"/>
      </w:pPr>
      <w:r>
        <w:t xml:space="preserve">VII. Conclusion</w:t>
      </w:r>
    </w:p>
    <w:p>
      <w:pPr>
        <w:pStyle w:val="FirstParagraph"/>
      </w:pPr>
      <w:r>
        <w:t xml:space="preserve">This Sales Report unequivocally demonstrates that our firm’s success in Myanmar Yangon is built on three pillars: deep local market expertise, exceptional Architect services tailored to Yangon's unique needs, and a client-centric sales approach that prioritizes long-term value over transactional gain. The demand for skilled Architects who understand the complexities of designing within Myanmar's cultural and environmental context remains robust. As we look ahead, our commitment to delivering Architectural excellence that drives measurable business outcomes for clients across Yangon – from residential developers to international corporate tenants – will continue to be the cornerstone of our sales strategy. We are not merely selling architectural services; we are enabling the physical evolution of Myanmar Yangon, and this mission directly fuels our growth trajectory.</w:t>
      </w:r>
    </w:p>
    <w:p>
      <w:pPr>
        <w:pStyle w:val="BodyText"/>
      </w:pPr>
      <w:r>
        <w:rPr>
          <w:bCs/>
          <w:b/>
        </w:rPr>
        <w:t xml:space="preserve">Prepared by:</w:t>
      </w:r>
      <w:r>
        <w:t xml:space="preserve"> </w:t>
      </w:r>
      <w:r>
        <w:t xml:space="preserve">Global Architect Solutions (Myanmar Division)</w:t>
      </w:r>
      <w:r>
        <w:br/>
      </w:r>
      <w:r>
        <w:rPr>
          <w:bCs/>
          <w:b/>
        </w:rPr>
        <w:t xml:space="preserve">Confidentiality:</w:t>
      </w:r>
      <w:r>
        <w:t xml:space="preserve"> </w:t>
      </w:r>
      <w:r>
        <w:t xml:space="preserve">This Sales Report contains proprietary market data and client information relevant to architectural services in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Architectural Services in Myanmar Yangon</dc:title>
  <dc:creator/>
  <dc:language>en</dc:language>
  <cp:keywords/>
  <dcterms:created xsi:type="dcterms:W3CDTF">2025-12-12T08:50:03Z</dcterms:created>
  <dcterms:modified xsi:type="dcterms:W3CDTF">2025-12-12T08:50:03Z</dcterms:modified>
</cp:coreProperties>
</file>

<file path=docProps/custom.xml><?xml version="1.0" encoding="utf-8"?>
<Properties xmlns="http://schemas.openxmlformats.org/officeDocument/2006/custom-properties" xmlns:vt="http://schemas.openxmlformats.org/officeDocument/2006/docPropsVTypes"/>
</file>