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Auckland</w:t>
      </w:r>
      <w:r>
        <w:t xml:space="preserve"> </w:t>
      </w:r>
      <w:r>
        <w:t xml:space="preserve">Architect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d44ee32efa605c012c67b3a86c3683cc0feb8a4"/>
    <w:p>
      <w:pPr>
        <w:pStyle w:val="Heading1"/>
      </w:pPr>
      <w:r>
        <w:t xml:space="preserve">Comprehensive Sales Report: Architect Services in New Zealand Auckland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Auckland Architecture Collective</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The third quarter of 2023 marked a significant milestone for our Architect practice in New Zealand Auckland, demonstrating robust growth across all core service lines. With the Auckland property market experiencing unprecedented demand driven by population growth and infrastructure investments, our Architect team capitalized on strategic positioning to secure 18 high-value projects totaling $2.87 million in revenue—a 22% increase over Q2 and a 34% year-on-year growth compared to Q3 2022. This report details sales performance, market insights, client acquisition strategies, and actionable recommendations for sustaining momentum in the competitive Auckland architectural landscape.</w:t>
      </w:r>
    </w:p>
    <w:bookmarkEnd w:id="20"/>
    <w:bookmarkStart w:id="21" w:name="Xf49949bcaaec40f1d474793d39fde8abee804d6"/>
    <w:p>
      <w:pPr>
        <w:pStyle w:val="Heading2"/>
      </w:pPr>
      <w:r>
        <w:t xml:space="preserve">Market Context: Auckland's Architectural Demand Landscape</w:t>
      </w:r>
    </w:p>
    <w:p>
      <w:pPr>
        <w:pStyle w:val="FirstParagraph"/>
      </w:pPr>
      <w:r>
        <w:t xml:space="preserve">New Zealand Auckland continues to dominate as the nation's primary hub for architectural innovation and development. With over 1.6 million residents, ongoing projects like the City Rail Link, expansion of Wynyard Quarter, and urgent housing shortages (particularly in affordable multi-unit developments) have created a sustained high demand for skilled Architect services. The Building Act 2004 and recent seismic strengthening mandates further elevate the need for specialized architectural expertise in Auckland’s unique urban environment. Our firm has positioned itself as a leader by combining deep local knowledge of Auckland’s zoning regulations (e.g., Unit Titles Act 2010), sustainability standards (NZBC Part J), and cultural context—particularly crucial for projects in culturally significant areas like Tāmaki Makaurau (Auckland’s Māori name).</w:t>
      </w:r>
    </w:p>
    <w:bookmarkEnd w:id="21"/>
    <w:bookmarkStart w:id="22" w:name="sales-performance-highlights"/>
    <w:p>
      <w:pPr>
        <w:pStyle w:val="Heading2"/>
      </w:pPr>
      <w:r>
        <w:t xml:space="preserve">Sales Performance Highlights</w:t>
      </w:r>
    </w:p>
    <w:p>
      <w:pPr>
        <w:pStyle w:val="FirstParagraph"/>
      </w:pPr>
      <w:r>
        <w:t xml:space="preserve">Project Type</w:t>
      </w:r>
    </w:p>
    <w:p>
      <w:pPr>
        <w:pStyle w:val="BodyText"/>
      </w:pPr>
      <w:r>
        <w:t xml:space="preserve">Q3 Projects Secured</w:t>
      </w:r>
    </w:p>
    <w:p>
      <w:pPr>
        <w:pStyle w:val="BodyText"/>
      </w:pPr>
      <w:r>
        <w:t xml:space="preserve">Total Revenue (NZD)</w:t>
      </w:r>
    </w:p>
    <w:p>
      <w:pPr>
        <w:pStyle w:val="BodyText"/>
      </w:pPr>
      <w:r>
        <w:t xml:space="preserve">% of Total Sales</w:t>
      </w:r>
    </w:p>
    <w:p>
      <w:pPr>
        <w:pStyle w:val="BodyText"/>
      </w:pPr>
      <w:r>
        <w:t xml:space="preserve">Residential High-End Developments (Ponsonby, Grey Lynn)</w:t>
      </w:r>
    </w:p>
    <w:p>
      <w:pPr>
        <w:pStyle w:val="BodyText"/>
      </w:pPr>
      <w:r>
        <w:t xml:space="preserve">7</w:t>
      </w:r>
    </w:p>
    <w:p>
      <w:pPr>
        <w:pStyle w:val="BodyText"/>
      </w:pPr>
      <w:r>
        <w:t xml:space="preserve">$1.12M</w:t>
      </w:r>
    </w:p>
    <w:p>
      <w:pPr>
        <w:pStyle w:val="BodyText"/>
      </w:pPr>
      <w:r>
        <w:t xml:space="preserve">39%</w:t>
      </w:r>
    </w:p>
    <w:p>
      <w:pPr>
        <w:pStyle w:val="BodyText"/>
      </w:pPr>
      <w:r>
        <w:t xml:space="preserve">Multifamily Affordable Housing (Ōtāhuhu, Manukau)</w:t>
      </w:r>
    </w:p>
    <w:p>
      <w:pPr>
        <w:pStyle w:val="BodyText"/>
      </w:pPr>
      <w:r>
        <w:t xml:space="preserve">5$840K29%</w:t>
      </w:r>
    </w:p>
    <w:p>
      <w:pPr>
        <w:pStyle w:val="BodyText"/>
      </w:pPr>
      <w:r>
        <w:t xml:space="preserve">Sustainable Commercial Fit-outs (Auckland CBD)</w:t>
      </w:r>
    </w:p>
    <w:p>
      <w:pPr>
        <w:pStyle w:val="BodyText"/>
      </w:pPr>
      <w:r>
        <w:t xml:space="preserve">4$635K22%</w:t>
      </w:r>
    </w:p>
    <w:p>
      <w:pPr>
        <w:pStyle w:val="BodyText"/>
      </w:pPr>
      <w:r>
        <w:t xml:space="preserve">Māori Cultural &amp; Community Facilities (Waitematā, North Shore)</w:t>
      </w:r>
    </w:p>
    <w:p>
      <w:pPr>
        <w:pStyle w:val="BodyText"/>
      </w:pPr>
      <w:r>
        <w:t xml:space="preserve">2$275K10%</w:t>
      </w:r>
    </w:p>
    <w:p>
      <w:pPr>
        <w:pStyle w:val="BodyText"/>
      </w:pPr>
      <w:r>
        <w:t xml:space="preserve">The surge in residential projects reflects Auckland's urgent need for premium housing solutions, while the significant share of affordable housing work aligns with both government initiatives (e.g., Auckland Council's Housing Accord) and our firm’s commitment to socially responsible design. Notably, our Māori cultural projects—such as the newly commissioned Te Pūrere o Ngāti Whātua marae expansion in Waiuku—secured through strong kaitiakitanga (guardianship) partnerships—demonstrate how specialized Architect expertise directly supports Auckland’s unique socio-cultural fabric.</w:t>
      </w:r>
    </w:p>
    <w:bookmarkEnd w:id="22"/>
    <w:bookmarkStart w:id="23" w:name="client-acquisition-retention-strategy"/>
    <w:p>
      <w:pPr>
        <w:pStyle w:val="Heading2"/>
      </w:pPr>
      <w:r>
        <w:t xml:space="preserve">Client Acquisition &amp; Retention Strategy</w:t>
      </w:r>
    </w:p>
    <w:p>
      <w:pPr>
        <w:pStyle w:val="FirstParagraph"/>
      </w:pPr>
      <w:r>
        <w:t xml:space="preserve">Our success stems from a targeted approach tailored to Auckland’s market dynamics. Key initiatives included:</w:t>
      </w:r>
    </w:p>
    <w:p>
      <w:pPr>
        <w:numPr>
          <w:ilvl w:val="0"/>
          <w:numId w:val="1001"/>
        </w:numPr>
        <w:pStyle w:val="Compact"/>
      </w:pPr>
      <w:r>
        <w:rPr>
          <w:bCs/>
          <w:b/>
        </w:rPr>
        <w:t xml:space="preserve">Hyper-Local Networking:</w:t>
      </w:r>
      <w:r>
        <w:t xml:space="preserve"> </w:t>
      </w:r>
      <w:r>
        <w:t xml:space="preserve">Active participation in Auckland Urban Design Forum, New Zealand Institute of Architects (NZIA) Auckland Chapter events, and partnerships with local iwi (Māori tribes) development agencies.</w:t>
      </w:r>
    </w:p>
    <w:p>
      <w:pPr>
        <w:numPr>
          <w:ilvl w:val="0"/>
          <w:numId w:val="1001"/>
        </w:numPr>
        <w:pStyle w:val="Compact"/>
      </w:pPr>
      <w:r>
        <w:rPr>
          <w:bCs/>
          <w:b/>
        </w:rPr>
        <w:t xml:space="preserve">Sustainability as a Sales Driver:</w:t>
      </w:r>
      <w:r>
        <w:t xml:space="preserve"> </w:t>
      </w:r>
      <w:r>
        <w:t xml:space="preserve">Positioning our Architect team as experts in NZBC-compliant energy-efficient design, directly addressing Auckland Council's 2050 carbon neutrality goals. 87% of new clients cited sustainability credentials as a primary factor.</w:t>
      </w:r>
    </w:p>
    <w:p>
      <w:pPr>
        <w:numPr>
          <w:ilvl w:val="0"/>
          <w:numId w:val="1001"/>
        </w:numPr>
        <w:pStyle w:val="Compact"/>
      </w:pPr>
      <w:r>
        <w:rPr>
          <w:bCs/>
          <w:b/>
        </w:rPr>
        <w:t xml:space="preserve">Seismic Resilience Focus:</w:t>
      </w:r>
      <w:r>
        <w:t xml:space="preserve"> </w:t>
      </w:r>
      <w:r>
        <w:t xml:space="preserve">Offering specialized seismic retrofitting consultations—a critical need post-2016 Kaikōura earthquake and ongoing Auckland tremor risks—resulting in a 45% increase in structural engineering collaborations.</w:t>
      </w:r>
    </w:p>
    <w:p>
      <w:pPr>
        <w:numPr>
          <w:ilvl w:val="0"/>
          <w:numId w:val="1001"/>
        </w:numPr>
        <w:pStyle w:val="Compact"/>
      </w:pPr>
      <w:r>
        <w:rPr>
          <w:bCs/>
          <w:b/>
        </w:rPr>
        <w:t xml:space="preserve">Digital Engagement:</w:t>
      </w:r>
      <w:r>
        <w:t xml:space="preserve"> </w:t>
      </w:r>
      <w:r>
        <w:t xml:space="preserve">Launching an interactive Auckland-specific project showcase on our website, featuring 3D models of completed projects like the "Auckland Waterside Eco-Housing" scheme in Māngere. This drove a 63% increase in qualified lead generation from local searches.</w:t>
      </w:r>
    </w:p>
    <w:bookmarkEnd w:id="23"/>
    <w:bookmarkStart w:id="24" w:name="challenges-mitigation-measures"/>
    <w:p>
      <w:pPr>
        <w:pStyle w:val="Heading2"/>
      </w:pPr>
      <w:r>
        <w:t xml:space="preserve">Challenges &amp; Mitigation Measures</w:t>
      </w:r>
    </w:p>
    <w:p>
      <w:pPr>
        <w:pStyle w:val="FirstParagraph"/>
      </w:pPr>
      <w:r>
        <w:t xml:space="preserve">Despite strong performance, Auckland-specific challenges impacted sales cycles:</w:t>
      </w:r>
    </w:p>
    <w:p>
      <w:pPr>
        <w:numPr>
          <w:ilvl w:val="0"/>
          <w:numId w:val="1002"/>
        </w:numPr>
        <w:pStyle w:val="Compact"/>
      </w:pPr>
      <w:r>
        <w:rPr>
          <w:iCs/>
          <w:i/>
        </w:rPr>
        <w:t xml:space="preserve">Labor Shortages:</w:t>
      </w:r>
      <w:r>
        <w:t xml:space="preserve"> </w:t>
      </w:r>
      <w:r>
        <w:t xml:space="preserve">Limited availability of skilled architectural technicians in Auckland increased project timelines. *Mitigation:* Partnered with UNITEC and ARA (Auckland Regional Authority) for targeted recruitment drives, securing 4 new graduates this quarter.</w:t>
      </w:r>
    </w:p>
    <w:p>
      <w:pPr>
        <w:numPr>
          <w:ilvl w:val="0"/>
          <w:numId w:val="1002"/>
        </w:numPr>
        <w:pStyle w:val="Compact"/>
      </w:pPr>
      <w:r>
        <w:rPr>
          <w:iCs/>
          <w:i/>
        </w:rPr>
        <w:t xml:space="preserve">Regulatory Complexity:</w:t>
      </w:r>
      <w:r>
        <w:t xml:space="preserve"> </w:t>
      </w:r>
      <w:r>
        <w:t xml:space="preserve">Streamlined but evolving Auckland Council planning processes caused client hesitation. *Mitigation:* Developed a "Regulatory Pathway Guide" for Auckland projects, reducing consultation time by 30% and improving client confidence.</w:t>
      </w:r>
    </w:p>
    <w:p>
      <w:pPr>
        <w:numPr>
          <w:ilvl w:val="0"/>
          <w:numId w:val="1002"/>
        </w:numPr>
        <w:pStyle w:val="Compact"/>
      </w:pPr>
      <w:r>
        <w:rPr>
          <w:iCs/>
          <w:i/>
        </w:rPr>
        <w:t xml:space="preserve">Material Cost Volatility:</w:t>
      </w:r>
      <w:r>
        <w:t xml:space="preserve"> </w:t>
      </w:r>
      <w:r>
        <w:t xml:space="preserve">Fluctuating costs of sustainable building materials (e.g., cross-laminated timber) impacted project budgets. *Mitigation:* Implemented fixed-cost contracts with tiered material options, securing 100% of Q3 projects under agreed pricing.</w:t>
      </w:r>
    </w:p>
    <w:bookmarkEnd w:id="24"/>
    <w:bookmarkStart w:id="25" w:name="strategic-recommendations-for-q4-2023"/>
    <w:p>
      <w:pPr>
        <w:pStyle w:val="Heading2"/>
      </w:pPr>
      <w:r>
        <w:t xml:space="preserve">Strategic Recommendations for Q4 2023</w:t>
      </w:r>
    </w:p>
    <w:p>
      <w:pPr>
        <w:pStyle w:val="FirstParagraph"/>
      </w:pPr>
      <w:r>
        <w:t xml:space="preserve">To build on this momentum in New Zealand Auckland’s competitive market, we recommend:</w:t>
      </w:r>
    </w:p>
    <w:p>
      <w:pPr>
        <w:numPr>
          <w:ilvl w:val="0"/>
          <w:numId w:val="1003"/>
        </w:numPr>
        <w:pStyle w:val="Compact"/>
      </w:pPr>
      <w:r>
        <w:rPr>
          <w:bCs/>
          <w:b/>
        </w:rPr>
        <w:t xml:space="preserve">Double Down on Affordable Housing:</w:t>
      </w:r>
      <w:r>
        <w:t xml:space="preserve"> </w:t>
      </w:r>
      <w:r>
        <w:t xml:space="preserve">Target Auckland Council’s upcoming $50M affordable housing fund allocation by forming a dedicated sub-team focusing exclusively on fast-track multi-unit projects.</w:t>
      </w:r>
    </w:p>
    <w:p>
      <w:pPr>
        <w:numPr>
          <w:ilvl w:val="0"/>
          <w:numId w:val="1003"/>
        </w:numPr>
        <w:pStyle w:val="Compact"/>
      </w:pPr>
      <w:r>
        <w:rPr>
          <w:bCs/>
          <w:b/>
        </w:rPr>
        <w:t xml:space="preserve">Elevate Māori Partnership Model:</w:t>
      </w:r>
      <w:r>
        <w:t xml:space="preserve"> </w:t>
      </w:r>
      <w:r>
        <w:t xml:space="preserve">Formalize an "Auckland Māori Design Collective" with key iwi to secure priority access to cultural infrastructure projects, leveraging our successful Te Pūrere o Ngāti Whātua engagement.</w:t>
      </w:r>
    </w:p>
    <w:p>
      <w:pPr>
        <w:numPr>
          <w:ilvl w:val="0"/>
          <w:numId w:val="1003"/>
        </w:numPr>
        <w:pStyle w:val="Compact"/>
      </w:pPr>
      <w:r>
        <w:rPr>
          <w:bCs/>
          <w:b/>
        </w:rPr>
        <w:t xml:space="preserve">Expand Commercial Sustainability Services:</w:t>
      </w:r>
      <w:r>
        <w:t xml:space="preserve"> </w:t>
      </w:r>
      <w:r>
        <w:t xml:space="preserve">Develop a certified "Net-Zero Business Certification" package for Auckland CBD clients, aligning with the city’s Green Building Council initiatives and addressing growing corporate ESG demands.</w:t>
      </w:r>
    </w:p>
    <w:p>
      <w:pPr>
        <w:numPr>
          <w:ilvl w:val="0"/>
          <w:numId w:val="1003"/>
        </w:numPr>
        <w:pStyle w:val="Compact"/>
      </w:pPr>
      <w:r>
        <w:rPr>
          <w:bCs/>
          <w:b/>
        </w:rPr>
        <w:t xml:space="preserve">Invest in Localized Tech Tools:</w:t>
      </w:r>
      <w:r>
        <w:t xml:space="preserve"> </w:t>
      </w:r>
      <w:r>
        <w:t xml:space="preserve">Introduce an Auckland-specific BIM (Building Information Modeling) library with local material databases, seismic standards, and zoning overlays to accelerate proposal development by 25%.</w:t>
      </w:r>
    </w:p>
    <w:bookmarkEnd w:id="25"/>
    <w:bookmarkStart w:id="26" w:name="conclusion"/>
    <w:p>
      <w:pPr>
        <w:pStyle w:val="Heading2"/>
      </w:pPr>
      <w:r>
        <w:t xml:space="preserve">Conclusion</w:t>
      </w:r>
    </w:p>
    <w:p>
      <w:pPr>
        <w:pStyle w:val="FirstParagraph"/>
      </w:pPr>
      <w:r>
        <w:t xml:space="preserve">The Q3 Sales Report underscores that our Architect practice in New Zealand Auckland has not only weathered market volatility but is strategically positioned as a growth catalyst within the city’s evolving urban ecosystem. By deeply embedding ourselves in Auckland’s unique regulatory, cultural, and environmental context—from seismic resilience to Māori design principles—we have transformed architectural services from a cost center into a strategic revenue driver. With infrastructure investments accelerating (e.g., Western Ring Road extensions) and population projections exceeding 2 million by 2040, the opportunity for our Architect team to lead Auckland’s sustainable development narrative is unparalleled. We project Q4 2023 revenue to reach $3.5M, solidifying our position as a top-tier Architect practice within New Zealand’s most dynamic market.</w:t>
      </w:r>
    </w:p>
    <w:p>
      <w:pPr>
        <w:pStyle w:val="BodyText"/>
      </w:pPr>
      <w:r>
        <w:rPr>
          <w:bCs/>
          <w:b/>
        </w:rPr>
        <w:t xml:space="preserve">Prepared By:</w:t>
      </w:r>
      <w:r>
        <w:t xml:space="preserve"> </w:t>
      </w:r>
      <w:r>
        <w:t xml:space="preserve">Sarah Chen, Director of Sales &amp; Business Development</w:t>
      </w:r>
      <w:r>
        <w:br/>
      </w:r>
      <w:r>
        <w:rPr>
          <w:bCs/>
          <w:b/>
        </w:rPr>
        <w:t xml:space="preserve">Auckland Architecture Collective (AAC)</w:t>
      </w:r>
      <w:r>
        <w:br/>
      </w:r>
      <w:r>
        <w:rPr>
          <w:iCs/>
          <w:i/>
        </w:rPr>
        <w:t xml:space="preserve">Serving New Zealand Auckland Since 1998 | Registered Architectural Practice NZ</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Auckland Architect Sales Report - Q3 2023</dc:title>
  <dc:creator/>
  <dc:language>en</dc:language>
  <cp:keywords/>
  <dcterms:created xsi:type="dcterms:W3CDTF">2025-12-09T10:50:43Z</dcterms:created>
  <dcterms:modified xsi:type="dcterms:W3CDTF">2025-12-09T10:50:43Z</dcterms:modified>
</cp:coreProperties>
</file>

<file path=docProps/custom.xml><?xml version="1.0" encoding="utf-8"?>
<Properties xmlns="http://schemas.openxmlformats.org/officeDocument/2006/custom-properties" xmlns:vt="http://schemas.openxmlformats.org/officeDocument/2006/docPropsVTypes"/>
</file>