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w:t>
      </w:r>
      <w:r>
        <w:t xml:space="preserve"> </w:t>
      </w:r>
      <w:r>
        <w:t xml:space="preserve">Wellington,</w:t>
      </w:r>
      <w:r>
        <w:t xml:space="preserve"> </w:t>
      </w:r>
      <w:r>
        <w:t xml:space="preserve">New</w:t>
      </w:r>
      <w:r>
        <w:t xml:space="preserve"> </w:t>
      </w:r>
      <w:r>
        <w:t xml:space="preserve">Zealand</w:t>
      </w:r>
    </w:p>
    <w:bookmarkStart w:id="29" w:name="X2f2e22330e278c3e95b812a666f3b233d764403"/>
    <w:p>
      <w:pPr>
        <w:pStyle w:val="Heading1"/>
      </w:pPr>
      <w:r>
        <w:t xml:space="preserve">Quarterly Sales Report: Architectural Service Performance in New Zealand Wellington Market</w:t>
      </w:r>
    </w:p>
    <w:bookmarkStart w:id="20" w:name="executive-summary"/>
    <w:p>
      <w:pPr>
        <w:pStyle w:val="Heading2"/>
      </w:pPr>
      <w:r>
        <w:t xml:space="preserve">Executive Summary</w:t>
      </w:r>
    </w:p>
    <w:p>
      <w:pPr>
        <w:pStyle w:val="FirstParagraph"/>
      </w:pPr>
      <w:r>
        <w:t xml:space="preserve">This comprehensive Sales Report details the performance of architectural service engagements across the Greater Wellington region during Q3 2023. The report underscores the critical role of professional architects in navigating New Zealand's evolving built environment, particularly within Wellington's dynamic urban landscape. With a focus on sustainable design, seismic resilience, and compliance with the Building Act 2004, our firm has achieved a 15% growth in project acquisitions compared to Q2. This report analyzes sales trends, client acquisition strategies, market challenges specific to New Zealand Wellington context, and strategic recommendations for sustained success.</w:t>
      </w:r>
    </w:p>
    <w:bookmarkEnd w:id="20"/>
    <w:bookmarkStart w:id="21" w:name="Xb4435244073e77d488444187d224161cb1635eb"/>
    <w:p>
      <w:pPr>
        <w:pStyle w:val="Heading2"/>
      </w:pPr>
      <w:r>
        <w:t xml:space="preserve">Market Analysis: Wellington's Unique Architectural Demand</w:t>
      </w:r>
    </w:p>
    <w:p>
      <w:pPr>
        <w:pStyle w:val="FirstParagraph"/>
      </w:pPr>
      <w:r>
        <w:t xml:space="preserve">New Zealand Wellington presents a distinct architectural market characterized by its coastal setting, seismic activity requiring innovative engineering solutions, and strong regulatory frameworks. Our Sales Report analysis reveals that the most significant growth areas in architectural services within New Zealand Wellington are:</w:t>
      </w:r>
    </w:p>
    <w:p>
      <w:pPr>
        <w:numPr>
          <w:ilvl w:val="0"/>
          <w:numId w:val="1001"/>
        </w:numPr>
        <w:pStyle w:val="Compact"/>
      </w:pPr>
      <w:r>
        <w:rPr>
          <w:bCs/>
          <w:b/>
        </w:rPr>
        <w:t xml:space="preserve">Residential Renovations &amp; Extensions</w:t>
      </w:r>
      <w:r>
        <w:t xml:space="preserve">: 42% of all new service engagements (up from 35% last quarter), driven by Wellington's high property values and demand for maximized living space in established suburbs like Thorndon, Kelburn, and Newtown.</w:t>
      </w:r>
    </w:p>
    <w:p>
      <w:pPr>
        <w:numPr>
          <w:ilvl w:val="0"/>
          <w:numId w:val="1001"/>
        </w:numPr>
        <w:pStyle w:val="Compact"/>
      </w:pPr>
      <w:r>
        <w:rPr>
          <w:bCs/>
          <w:b/>
        </w:rPr>
        <w:t xml:space="preserve">Sustainable Commercial Developments</w:t>
      </w:r>
      <w:r>
        <w:t xml:space="preserve">: 28% growth in projects targeting WELL Building Standard certification, reflecting Wellington's commitment to environmental leadership under the Greater Wellington Regional Council's Climate Action Plan.</w:t>
      </w:r>
    </w:p>
    <w:p>
      <w:pPr>
        <w:numPr>
          <w:ilvl w:val="0"/>
          <w:numId w:val="1001"/>
        </w:numPr>
        <w:pStyle w:val="Compact"/>
      </w:pPr>
      <w:r>
        <w:rPr>
          <w:bCs/>
          <w:b/>
        </w:rPr>
        <w:t xml:space="preserve">Heritage Conservation Projects</w:t>
      </w:r>
      <w:r>
        <w:t xml:space="preserve">: 18% of engagements, particularly involving heritage-listed buildings in the central city and Petone, requiring specialized architectural expertise to balance preservation with modern functionality.</w:t>
      </w:r>
    </w:p>
    <w:p>
      <w:pPr>
        <w:pStyle w:val="FirstParagraph"/>
      </w:pPr>
      <w:r>
        <w:t xml:space="preserve">The Wellington Architectural Association reports a 22% increase in building consents for Category 2 (residential) projects within the region this quarter, directly correlating with our sales pipeline growth. This trend positions architects as essential partners in realizing New Zealand's national housing strategy goals.</w:t>
      </w:r>
    </w:p>
    <w:bookmarkEnd w:id="21"/>
    <w:bookmarkStart w:id="22" w:name="Xb872654a5dab61b3bff751c0810b06548919da3"/>
    <w:p>
      <w:pPr>
        <w:pStyle w:val="Heading2"/>
      </w:pPr>
      <w:r>
        <w:t xml:space="preserve">Architect Services Performance &amp; Sales Metrics</w:t>
      </w:r>
    </w:p>
    <w:p>
      <w:pPr>
        <w:pStyle w:val="FirstParagraph"/>
      </w:pPr>
      <w:r>
        <w:t xml:space="preserve">This Sales Report quantifies our architectural service delivery against key performance indicators (KPIs) specific to the New Zealand Wellington market:</w:t>
      </w:r>
    </w:p>
    <w:p>
      <w:pPr>
        <w:pStyle w:val="BodyText"/>
      </w:pPr>
      <w:r>
        <w:t xml:space="preserve">Service Category</w:t>
      </w:r>
    </w:p>
    <w:p>
      <w:pPr>
        <w:pStyle w:val="BodyText"/>
      </w:pPr>
      <w:r>
        <w:t xml:space="preserve">Q3 2023 Engagements</w:t>
      </w:r>
    </w:p>
    <w:p>
      <w:pPr>
        <w:pStyle w:val="BodyText"/>
      </w:pPr>
      <w:r>
        <w:t xml:space="preserve">% Growth vs Q2</w:t>
      </w:r>
    </w:p>
    <w:p>
      <w:pPr>
        <w:pStyle w:val="BodyText"/>
      </w:pPr>
      <w:r>
        <w:t xml:space="preserve">Avg. Project Value (NZD)</w:t>
      </w:r>
    </w:p>
    <w:p>
      <w:pPr>
        <w:pStyle w:val="BodyText"/>
      </w:pPr>
      <w:r>
        <w:t xml:space="preserve">New Residential Construction</w:t>
      </w:r>
    </w:p>
    <w:p>
      <w:pPr>
        <w:pStyle w:val="BodyText"/>
      </w:pPr>
      <w:r>
        <w:t xml:space="preserve">17</w:t>
      </w:r>
    </w:p>
    <w:p>
      <w:pPr>
        <w:pStyle w:val="BodyText"/>
      </w:pPr>
      <w:r>
        <w:t xml:space="preserve">19%</w:t>
      </w:r>
    </w:p>
    <w:p>
      <w:pPr>
        <w:pStyle w:val="BodyText"/>
      </w:pPr>
      <w:r>
        <w:t xml:space="preserve">$850,000</w:t>
      </w:r>
    </w:p>
    <w:p>
      <w:pPr>
        <w:pStyle w:val="BodyText"/>
      </w:pPr>
      <w:r>
        <w:t xml:space="preserve">Commercial Fitouts &amp; Extensions</w:t>
      </w:r>
    </w:p>
    <w:p>
      <w:pPr>
        <w:pStyle w:val="BodyText"/>
      </w:pPr>
      <w:r>
        <w:t xml:space="preserve">22</w:t>
      </w:r>
    </w:p>
    <w:p>
      <w:pPr>
        <w:pStyle w:val="BodyText"/>
      </w:pPr>
      <w:r>
        <w:t xml:space="preserve">34%</w:t>
      </w:r>
    </w:p>
    <w:p>
      <w:pPr>
        <w:pStyle w:val="BodyText"/>
      </w:pPr>
      <w:r>
        <w:t xml:space="preserve">$625,000</w:t>
      </w:r>
    </w:p>
    <w:p>
      <w:pPr>
        <w:pStyle w:val="BodyText"/>
      </w:pPr>
      <w:r>
        <w:t xml:space="preserve">Heritage Restoration &amp; Adaptive Reuse</w:t>
      </w:r>
    </w:p>
    <w:p>
      <w:pPr>
        <w:pStyle w:val="BodyText"/>
      </w:pPr>
      <w:r>
        <w:t xml:space="preserve">9</w:t>
      </w:r>
    </w:p>
    <w:p>
      <w:pPr>
        <w:pStyle w:val="BodyText"/>
      </w:pPr>
      <w:r>
        <w:t xml:space="preserve">7%</w:t>
      </w:r>
    </w:p>
    <w:p>
      <w:pPr>
        <w:pStyle w:val="BodyText"/>
      </w:pPr>
      <w:r>
        <w:t xml:space="preserve">$1,245,000</w:t>
      </w:r>
    </w:p>
    <w:p>
      <w:pPr>
        <w:pStyle w:val="BodyText"/>
      </w:pPr>
      <w:r>
        <w:t xml:space="preserve">The data confirms architects are increasingly engaged in the project lifecycle at earlier stages (85% of new projects initiated with architect involvement vs 68% last year), a trend critical to optimizing design solutions within New Zealand's complex building consent processes. Our sales team has successfully implemented a targeted client acquisition strategy focused on Wellington-based developers, property managers, and government entities like the Wellington City Council.</w:t>
      </w:r>
    </w:p>
    <w:bookmarkEnd w:id="22"/>
    <w:bookmarkStart w:id="23" w:name="client-feedback-value-proposition"/>
    <w:p>
      <w:pPr>
        <w:pStyle w:val="Heading2"/>
      </w:pPr>
      <w:r>
        <w:t xml:space="preserve">Client Feedback &amp; Value Proposition</w:t>
      </w:r>
    </w:p>
    <w:p>
      <w:pPr>
        <w:pStyle w:val="FirstParagraph"/>
      </w:pPr>
      <w:r>
        <w:t xml:space="preserve">Client satisfaction scores (based on post-project surveys) for our architectural services in New Zealand Wellington remain exceptionally high at 94%. Key feedback themes consistently highlight:</w:t>
      </w:r>
    </w:p>
    <w:p>
      <w:pPr>
        <w:numPr>
          <w:ilvl w:val="0"/>
          <w:numId w:val="1002"/>
        </w:numPr>
        <w:pStyle w:val="Compact"/>
      </w:pPr>
      <w:r>
        <w:t xml:space="preserve">"The architect's deep understanding of Wellington's specific seismic requirements and local council guidelines was invaluable."</w:t>
      </w:r>
    </w:p>
    <w:p>
      <w:pPr>
        <w:numPr>
          <w:ilvl w:val="0"/>
          <w:numId w:val="1002"/>
        </w:numPr>
        <w:pStyle w:val="Compact"/>
      </w:pPr>
      <w:r>
        <w:t xml:space="preserve">"Their proactive approach to integrating sustainable features (e.g., rainwater harvesting, passive solar design) aligned perfectly with our Wellington-based sustainability goals."</w:t>
      </w:r>
    </w:p>
    <w:p>
      <w:pPr>
        <w:numPr>
          <w:ilvl w:val="0"/>
          <w:numId w:val="1002"/>
        </w:numPr>
        <w:pStyle w:val="Compact"/>
      </w:pPr>
      <w:r>
        <w:t xml:space="preserve">"The architect effectively navigated the complexities of working within heritage zones on our Te Aro project, preserving historical integrity while meeting modern needs."</w:t>
      </w:r>
    </w:p>
    <w:p>
      <w:pPr>
        <w:pStyle w:val="FirstParagraph"/>
      </w:pPr>
      <w:r>
        <w:t xml:space="preserve">This positive feedback directly translates to referral rates of 38% – significantly above industry averages. The Sales Report confirms that clients in Wellington actively seek architects who demonstrate local market expertise rather than generic design capabilities.</w:t>
      </w:r>
    </w:p>
    <w:bookmarkEnd w:id="23"/>
    <w:bookmarkStart w:id="26" w:name="X5ea7238ae2036d43a3e4b1ce35311c3ec32c491"/>
    <w:p>
      <w:pPr>
        <w:pStyle w:val="Heading2"/>
      </w:pPr>
      <w:r>
        <w:t xml:space="preserve">Challenges &amp; Opportunities in the Wellington Market</w:t>
      </w:r>
    </w:p>
    <w:p>
      <w:pPr>
        <w:pStyle w:val="FirstParagraph"/>
      </w:pPr>
      <w:r>
        <w:t xml:space="preserve">This report identifies critical challenges and opportunities for architectural service sales within New Zealand Wellington:</w:t>
      </w:r>
    </w:p>
    <w:bookmarkStart w:id="24" w:name="key-challenges"/>
    <w:p>
      <w:pPr>
        <w:pStyle w:val="Heading3"/>
      </w:pPr>
      <w:r>
        <w:t xml:space="preserve">Key Challenges:</w:t>
      </w:r>
    </w:p>
    <w:p>
      <w:pPr>
        <w:numPr>
          <w:ilvl w:val="0"/>
          <w:numId w:val="1003"/>
        </w:numPr>
        <w:pStyle w:val="Compact"/>
      </w:pPr>
      <w:r>
        <w:rPr>
          <w:bCs/>
          <w:b/>
        </w:rPr>
        <w:t xml:space="preserve">Supply Chain Delays</w:t>
      </w:r>
      <w:r>
        <w:t xml:space="preserve">: Continued disruptions in timber and specialized building materials impact project timelines, requiring architects to develop more robust procurement strategies during client consultations.</w:t>
      </w:r>
    </w:p>
    <w:p>
      <w:pPr>
        <w:numPr>
          <w:ilvl w:val="0"/>
          <w:numId w:val="1003"/>
        </w:numPr>
        <w:pStyle w:val="Compact"/>
      </w:pPr>
      <w:r>
        <w:rPr>
          <w:bCs/>
          <w:b/>
        </w:rPr>
        <w:t xml:space="preserve">Regulatory Complexity</w:t>
      </w:r>
      <w:r>
        <w:t xml:space="preserve">: Navigating the Building Code Amendment Act 2021 and Wellington City Council's unique planning overlays demands significant architectural expertise, increasing sales cycle times by 15%.</w:t>
      </w:r>
    </w:p>
    <w:bookmarkEnd w:id="24"/>
    <w:bookmarkStart w:id="25" w:name="key-opportunities"/>
    <w:p>
      <w:pPr>
        <w:pStyle w:val="Heading3"/>
      </w:pPr>
      <w:r>
        <w:t xml:space="preserve">Key Opportunities:</w:t>
      </w:r>
    </w:p>
    <w:p>
      <w:pPr>
        <w:numPr>
          <w:ilvl w:val="0"/>
          <w:numId w:val="1004"/>
        </w:numPr>
        <w:pStyle w:val="Compact"/>
      </w:pPr>
      <w:r>
        <w:rPr>
          <w:bCs/>
          <w:b/>
        </w:rPr>
        <w:t xml:space="preserve">Sustainable Design Certification</w:t>
      </w:r>
      <w:r>
        <w:t xml:space="preserve">: Growing demand for NZ Green Building Council (NZGBC) certification presents a major sales opportunity. Our architectural team recently secured three projects with integrated carbon-neutral strategies.</w:t>
      </w:r>
    </w:p>
    <w:p>
      <w:pPr>
        <w:numPr>
          <w:ilvl w:val="0"/>
          <w:numId w:val="1004"/>
        </w:numPr>
        <w:pStyle w:val="Compact"/>
      </w:pPr>
      <w:r>
        <w:rPr>
          <w:bCs/>
          <w:b/>
        </w:rPr>
        <w:t xml:space="preserve">Urban Density Solutions</w:t>
      </w:r>
      <w:r>
        <w:t xml:space="preserve">: Wellington's housing shortage creates consistent demand for innovative multi-unit residential designs, particularly in the CBD and waterfront areas like Te Papa and the Cable Car precincts.</w:t>
      </w:r>
    </w:p>
    <w:bookmarkEnd w:id="25"/>
    <w:bookmarkEnd w:id="26"/>
    <w:bookmarkStart w:id="27" w:name="X4231f208208cc834863762e568f5f3101def6a0"/>
    <w:p>
      <w:pPr>
        <w:pStyle w:val="Heading2"/>
      </w:pPr>
      <w:r>
        <w:t xml:space="preserve">Strategic Recommendations for Architectural Service Growth</w:t>
      </w:r>
    </w:p>
    <w:p>
      <w:pPr>
        <w:pStyle w:val="FirstParagraph"/>
      </w:pPr>
      <w:r>
        <w:t xml:space="preserve">Based on this Sales Report analysis, we recommend three strategic priorities to strengthen our architectural service positioning within New Zealand Wellington:</w:t>
      </w:r>
    </w:p>
    <w:p>
      <w:pPr>
        <w:numPr>
          <w:ilvl w:val="0"/>
          <w:numId w:val="1005"/>
        </w:numPr>
        <w:pStyle w:val="Compact"/>
      </w:pPr>
      <w:r>
        <w:rPr>
          <w:bCs/>
          <w:b/>
        </w:rPr>
        <w:t xml:space="preserve">Develop Wellington-Specific Design Resources</w:t>
      </w:r>
      <w:r>
        <w:t xml:space="preserve">: Create an internal knowledge base of approved local materials, seismic detailing examples for Wellington's soil conditions, and successful case studies from recent CBD projects. This directly addresses client concerns about market-specific expertise.</w:t>
      </w:r>
    </w:p>
    <w:p>
      <w:pPr>
        <w:numPr>
          <w:ilvl w:val="0"/>
          <w:numId w:val="1005"/>
        </w:numPr>
        <w:pStyle w:val="Compact"/>
      </w:pPr>
      <w:r>
        <w:rPr>
          <w:bCs/>
          <w:b/>
        </w:rPr>
        <w:t xml:space="preserve">Expand Client Education Workshops</w:t>
      </w:r>
      <w:r>
        <w:t xml:space="preserve">: Partner with the Wellington Regional Development Agency to host quarterly sessions on navigating building consents and sustainable design options, positioning our architects as essential market advisors rather than just service providers.</w:t>
      </w:r>
    </w:p>
    <w:p>
      <w:pPr>
        <w:numPr>
          <w:ilvl w:val="0"/>
          <w:numId w:val="1005"/>
        </w:numPr>
        <w:pStyle w:val="Compact"/>
      </w:pPr>
      <w:r>
        <w:rPr>
          <w:bCs/>
          <w:b/>
        </w:rPr>
        <w:t xml:space="preserve">Strengthen Government Relations</w:t>
      </w:r>
      <w:r>
        <w:t xml:space="preserve">: Proactively engage with the Wellington City Council's Building Consent Officers to understand emerging regulatory priorities, enabling architects to tailor proposals that align with local planning objectives from inception.</w:t>
      </w:r>
    </w:p>
    <w:bookmarkEnd w:id="27"/>
    <w:bookmarkStart w:id="28" w:name="conclusion"/>
    <w:p>
      <w:pPr>
        <w:pStyle w:val="Heading2"/>
      </w:pPr>
      <w:r>
        <w:t xml:space="preserve">Conclusion</w:t>
      </w:r>
    </w:p>
    <w:p>
      <w:pPr>
        <w:pStyle w:val="FirstParagraph"/>
      </w:pPr>
      <w:r>
        <w:t xml:space="preserve">This Sales Report confirms that professional architectural services remain indispensable for realizing quality, compliant, and sustainable projects across New Zealand Wellington. The market's specific challenges – including seismic considerations, heritage conservation demands, and evolving regulations – create significant opportunities for architects who deepen their local market expertise. Our firm has demonstrated strong performance through targeted service delivery aligned with Wellington's urban development priorities. As we move into Q4 2023, the continued growth of architectural service engagements will be pivotal in supporting New Zealand Wellington's vision for a resilient, vibrant, and sustainable built environment. The data clearly indicates that clients actively value architects who understand the unique context of this region – making local expertise not just advantageous, but essential for sales success.</w:t>
      </w:r>
    </w:p>
    <w:p>
      <w:pPr>
        <w:pStyle w:val="BodyText"/>
      </w:pPr>
      <w:r>
        <w:rPr>
          <w:bCs/>
          <w:b/>
        </w:rPr>
        <w:t xml:space="preserve">Prepared By:</w:t>
      </w:r>
      <w:r>
        <w:t xml:space="preserve"> </w:t>
      </w:r>
      <w:r>
        <w:t xml:space="preserve">Sales &amp; Strategy Department</w:t>
      </w:r>
      <w:r>
        <w:br/>
      </w:r>
      <w:r>
        <w:rPr>
          <w:bCs/>
          <w:b/>
        </w:rPr>
        <w:t xml:space="preserve">Date:</w:t>
      </w:r>
      <w:r>
        <w:t xml:space="preserve"> </w:t>
      </w:r>
      <w:r>
        <w:t xml:space="preserve">October 26, 2023</w:t>
      </w:r>
      <w:r>
        <w:br/>
      </w:r>
      <w:r>
        <w:rPr>
          <w:bCs/>
          <w:b/>
        </w:rPr>
        <w:t xml:space="preserve">For Internal Use: Wellington Architectural Practice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Architectural Services - Wellington, New Zealand</dc:title>
  <dc:creator/>
  <dc:language>en</dc:language>
  <cp:keywords/>
  <dcterms:created xsi:type="dcterms:W3CDTF">2026-07-23T23:47:02Z</dcterms:created>
  <dcterms:modified xsi:type="dcterms:W3CDTF">2026-07-23T23:47:02Z</dcterms:modified>
</cp:coreProperties>
</file>

<file path=docProps/custom.xml><?xml version="1.0" encoding="utf-8"?>
<Properties xmlns="http://schemas.openxmlformats.org/officeDocument/2006/custom-properties" xmlns:vt="http://schemas.openxmlformats.org/officeDocument/2006/docPropsVTypes"/>
</file>