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0" w:name="X5e25c44938f04504df4fb34eaf7327b9e342387"/>
    <w:p>
      <w:pPr>
        <w:pStyle w:val="Heading1"/>
      </w:pPr>
      <w:r>
        <w:t xml:space="preserve">Comprehensive Sales Report for Architect Services in Philippines Manila</w:t>
      </w:r>
    </w:p>
    <w:p>
      <w:pPr>
        <w:pStyle w:val="FirstParagraph"/>
      </w:pPr>
      <w:r>
        <w:t xml:space="preserve">Delivering Excellence in Architectural Design &amp; Development Across Metro Manila</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Q3 2023</w:t>
      </w:r>
    </w:p>
    <w:bookmarkStart w:id="20" w:name="executive-summary"/>
    <w:p>
      <w:pPr>
        <w:pStyle w:val="Heading2"/>
      </w:pPr>
      <w:r>
        <w:t xml:space="preserve">1. Executive Summary</w:t>
      </w:r>
    </w:p>
    <w:p>
      <w:pPr>
        <w:pStyle w:val="FirstParagraph"/>
      </w:pPr>
      <w:r>
        <w:t xml:space="preserve">This Sales Report details the performance of our architectural services firm operating within the dynamic urban landscape of Philippines Manila. As a premier Architect practice serving the Greater Manila area, we've achieved significant milestones in client acquisition, project completion, and market penetration during Q3 2023. The report demonstrates how strategic focus on Manila's unique development challenges has driven a 18% year-over-year growth in architectural service revenue. Key successes include securing three major commercial projects in Bonifacio Global City and two luxury residential developments in Taguig City, solidifying our position as a leading Architect for sustainable urban development solutions across the Philippines capital region.</w:t>
      </w:r>
    </w:p>
    <w:p>
      <w:pPr>
        <w:pStyle w:val="BodyText"/>
      </w:pPr>
      <w:r>
        <w:rPr>
          <w:bCs/>
          <w:b/>
        </w:rPr>
        <w:t xml:space="preserve">Key Achievement:</w:t>
      </w:r>
      <w:r>
        <w:t xml:space="preserve"> </w:t>
      </w:r>
      <w:r>
        <w:t xml:space="preserve">Our Manila-based Architect team successfully delivered the "Riverbanks Residences" project – a 45-unit sustainable housing complex in Marikina City – 17 days ahead of schedule, resulting in a 22% client satisfaction boost and three new referral contracts from the same developer.</w:t>
      </w:r>
    </w:p>
    <w:bookmarkEnd w:id="20"/>
    <w:bookmarkStart w:id="21" w:name="X008a57f811b5ef39a01d6b07e4f10f0ba8bb794"/>
    <w:p>
      <w:pPr>
        <w:pStyle w:val="Heading2"/>
      </w:pPr>
      <w:r>
        <w:t xml:space="preserve">2. Market Context: Philippines Manila Architectural Landscape</w:t>
      </w:r>
    </w:p>
    <w:p>
      <w:pPr>
        <w:pStyle w:val="FirstParagraph"/>
      </w:pPr>
      <w:r>
        <w:t xml:space="preserve">The architecture sector in Philippines Manila faces unprecedented growth driven by Metro Manila's population exceeding 13 million residents, aggressive infrastructure development under the "Build, Build, Build" program, and rising demand for eco-conscious design. As an Architect specializing in the Philippine market context, we've observed three critical trends shaping our sales strategy:</w:t>
      </w:r>
    </w:p>
    <w:p>
      <w:pPr>
        <w:numPr>
          <w:ilvl w:val="0"/>
          <w:numId w:val="1001"/>
        </w:numPr>
        <w:pStyle w:val="Compact"/>
      </w:pPr>
      <w:r>
        <w:rPr>
          <w:bCs/>
          <w:b/>
        </w:rPr>
        <w:t xml:space="preserve">Resilient Residential Demand:</w:t>
      </w:r>
      <w:r>
        <w:t xml:space="preserve"> </w:t>
      </w:r>
      <w:r>
        <w:t xml:space="preserve">68% of new architectural projects in Manila this year focus on mid-to-high-end housing developments addressing urban density challenges</w:t>
      </w:r>
    </w:p>
    <w:p>
      <w:pPr>
        <w:numPr>
          <w:ilvl w:val="0"/>
          <w:numId w:val="1001"/>
        </w:numPr>
        <w:pStyle w:val="Compact"/>
      </w:pPr>
      <w:r>
        <w:rPr>
          <w:bCs/>
          <w:b/>
        </w:rPr>
        <w:t xml:space="preserve">Sustainability Imperative:</w:t>
      </w:r>
      <w:r>
        <w:t xml:space="preserve"> </w:t>
      </w:r>
      <w:r>
        <w:t xml:space="preserve">73% of commercial clients now require LEED-certified design solutions, directly impacting our sales pitch for Architect services</w:t>
      </w:r>
    </w:p>
    <w:p>
      <w:pPr>
        <w:numPr>
          <w:ilvl w:val="0"/>
          <w:numId w:val="1001"/>
        </w:numPr>
        <w:pStyle w:val="Compact"/>
      </w:pPr>
      <w:r>
        <w:rPr>
          <w:bCs/>
          <w:b/>
        </w:rPr>
        <w:t xml:space="preserve">Infrastructure Synergies:</w:t>
      </w:r>
      <w:r>
        <w:t xml:space="preserve"> </w:t>
      </w:r>
      <w:r>
        <w:t xml:space="preserve">New MRT Line 7 extensions and the Manila-Cavite Expressway (CAVITEX) expansion have created opportunistic markets for transit-oriented development Architect solutions</w:t>
      </w:r>
    </w:p>
    <w:bookmarkEnd w:id="21"/>
    <w:bookmarkStart w:id="23" w:name="sales-performance-analysis-q3-2023"/>
    <w:p>
      <w:pPr>
        <w:pStyle w:val="Heading2"/>
      </w:pPr>
      <w:r>
        <w:t xml:space="preserve">3. Sales Performance Analysis (Q3 2023)</w:t>
      </w:r>
    </w:p>
    <w:p>
      <w:pPr>
        <w:pStyle w:val="FirstParagraph"/>
      </w:pPr>
      <w:r>
        <w:t xml:space="preserve">Revenue Breakdown by Project Type</w:t>
      </w:r>
    </w:p>
    <w:p>
      <w:pPr>
        <w:pStyle w:val="BodyText"/>
      </w:pPr>
      <w:r>
        <w:rPr>
          <w:bCs/>
          <w:b/>
        </w:rPr>
        <w:t xml:space="preserve">Commercial Architecture:</w:t>
      </w:r>
      <w:r>
        <w:t xml:space="preserve"> </w:t>
      </w:r>
      <w:r>
        <w:t xml:space="preserve">48% of total revenue ($1.87M) from projects including the Ayala Malls Circuit Building renovation and a new CBD office complex in Ortigas Center. Our Architect team's specialization in Philippine building codes (PDI Standards) secured these contracts against regional competitors.</w:t>
      </w:r>
    </w:p>
    <w:p>
      <w:pPr>
        <w:pStyle w:val="BodyText"/>
      </w:pPr>
      <w:r>
        <w:rPr>
          <w:bCs/>
          <w:b/>
        </w:rPr>
        <w:t xml:space="preserve">Residential Architecture:</w:t>
      </w:r>
      <w:r>
        <w:t xml:space="preserve"> </w:t>
      </w:r>
      <w:r>
        <w:t xml:space="preserve">35% revenue ($1.36M) from luxury housing developments like "The Vista" in Bonifacio Global City, where our sustainable design approach reduced client construction costs by 12% through local material sourcing strategies.</w:t>
      </w:r>
    </w:p>
    <w:p>
      <w:pPr>
        <w:pStyle w:val="BodyText"/>
      </w:pPr>
      <w:r>
        <w:rPr>
          <w:bCs/>
          <w:b/>
        </w:rPr>
        <w:t xml:space="preserve">Sustainable Design Consultancy:</w:t>
      </w:r>
      <w:r>
        <w:t xml:space="preserve"> </w:t>
      </w:r>
      <w:r>
        <w:t xml:space="preserve">17% revenue ($655K) – a rapidly growing segment where our Architect certification in Philippine Green Building Standards (PGBS) became a key sales differentiator.</w:t>
      </w:r>
    </w:p>
    <w:bookmarkStart w:id="22" w:name="client-acquisition-metrics"/>
    <w:p>
      <w:pPr>
        <w:pStyle w:val="Heading3"/>
      </w:pPr>
      <w:r>
        <w:t xml:space="preserve">Client Acquisition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Channel</w:t>
            </w:r>
          </w:p>
        </w:tc>
        <w:tc>
          <w:tcPr/>
          <w:p>
            <w:pPr>
              <w:pStyle w:val="Compact"/>
              <w:jc w:val="left"/>
            </w:pPr>
            <w:r>
              <w:t xml:space="preserve">Qualified Leads</w:t>
            </w:r>
          </w:p>
        </w:tc>
        <w:tc>
          <w:tcPr/>
          <w:p>
            <w:pPr>
              <w:pStyle w:val="Compact"/>
              <w:jc w:val="left"/>
            </w:pPr>
            <w:r>
              <w:t xml:space="preserve">Conversion Rate</w:t>
            </w:r>
          </w:p>
        </w:tc>
        <w:tc>
          <w:tcPr/>
          <w:p>
            <w:pPr>
              <w:pStyle w:val="Compact"/>
              <w:jc w:val="left"/>
            </w:pPr>
            <w:r>
              <w:t xml:space="preserve">New Contracts Secured</w:t>
            </w:r>
          </w:p>
        </w:tc>
        <w:tc>
          <w:tcPr/>
          <w:p>
            <w:pPr>
              <w:pStyle w:val="Compact"/>
            </w:pPr>
          </w:p>
        </w:tc>
      </w:tr>
      <w:tr>
        <w:tc>
          <w:tcPr/>
          <w:p>
            <w:pPr>
              <w:pStyle w:val="Compact"/>
              <w:jc w:val="left"/>
            </w:pPr>
            <w:r>
              <w:t xml:space="preserve">Referral Network (Local Developers)</w:t>
            </w:r>
          </w:p>
        </w:tc>
        <w:tc>
          <w:tcPr/>
          <w:p>
            <w:pPr>
              <w:pStyle w:val="Compact"/>
              <w:jc w:val="left"/>
            </w:pPr>
            <w:r>
              <w:t xml:space="preserve">27</w:t>
            </w:r>
          </w:p>
        </w:tc>
        <w:tc>
          <w:tcPr/>
          <w:p>
            <w:pPr>
              <w:pStyle w:val="Compact"/>
              <w:jc w:val="left"/>
            </w:pPr>
            <w:r>
              <w:t xml:space="preserve">59%</w:t>
            </w:r>
          </w:p>
        </w:tc>
        <w:tc>
          <w:tcPr/>
          <w:p>
            <w:pPr>
              <w:pStyle w:val="Compact"/>
              <w:jc w:val="left"/>
            </w:pPr>
            <w:r>
              <w:t xml:space="preserve">16</w:t>
            </w:r>
          </w:p>
        </w:tc>
        <w:tc>
          <w:tcPr/>
          <w:p>
            <w:pPr>
              <w:pStyle w:val="Compact"/>
            </w:pPr>
          </w:p>
        </w:tc>
      </w:tr>
      <w:tr>
        <w:tc>
          <w:tcPr/>
          <w:p>
            <w:pPr>
              <w:pStyle w:val="Compact"/>
              <w:jc w:val="left"/>
            </w:pPr>
            <w:r>
              <w:t xml:space="preserve">Municipal Government Tenders (Manila City Hall)</w:t>
            </w:r>
          </w:p>
        </w:tc>
        <w:tc>
          <w:tcPr/>
          <w:p>
            <w:pPr>
              <w:pStyle w:val="Compact"/>
              <w:jc w:val="left"/>
            </w:pPr>
            <w:r>
              <w:t xml:space="preserve">14</w:t>
            </w:r>
          </w:p>
        </w:tc>
        <w:tc>
          <w:tcPr/>
          <w:p>
            <w:pPr>
              <w:pStyle w:val="Compact"/>
              <w:jc w:val="left"/>
            </w:pPr>
            <w:r>
              <w:t xml:space="preserve">72%</w:t>
            </w:r>
          </w:p>
        </w:tc>
        <w:tc>
          <w:tcPr/>
          <w:p>
            <w:pPr>
              <w:pStyle w:val="Compact"/>
              <w:jc w:val="left"/>
            </w:pPr>
            <w:r>
              <w:t xml:space="preserve">10</w:t>
            </w:r>
          </w:p>
        </w:tc>
        <w:tc>
          <w:tcPr/>
          <w:p>
            <w:pPr>
              <w:pStyle w:val="Compact"/>
            </w:pPr>
          </w:p>
        </w:tc>
      </w:tr>
      <w:tr>
        <w:tc>
          <w:tcPr/>
          <w:p>
            <w:pPr>
              <w:pStyle w:val="Compact"/>
              <w:jc w:val="left"/>
            </w:pPr>
            <w:r>
              <w:t xml:space="preserve">Trade Shows (Philippine Construction Week)</w:t>
            </w:r>
          </w:p>
        </w:tc>
        <w:tc>
          <w:tcPr/>
          <w:p>
            <w:pPr>
              <w:pStyle w:val="Compact"/>
              <w:jc w:val="left"/>
            </w:pPr>
            <w:r>
              <w:t xml:space="preserve">8</w:t>
            </w:r>
          </w:p>
        </w:tc>
        <w:tc>
          <w:tcPr/>
          <w:p>
            <w:pPr>
              <w:pStyle w:val="Compact"/>
              <w:jc w:val="left"/>
            </w:pPr>
            <w:r>
              <w:t xml:space="preserve">38%</w:t>
            </w:r>
          </w:p>
        </w:tc>
        <w:tc>
          <w:tcPr>
            <w:gridSpan w:val="2"/>
          </w:tcPr>
          <w:p>
            <w:pPr>
              <w:pStyle w:val="Compact"/>
              <w:jc w:val="left"/>
            </w:pPr>
            <w:r>
              <w:t xml:space="preserve">3</w:t>
            </w:r>
          </w:p>
        </w:tc>
      </w:tr>
    </w:tbl>
    <w:p>
      <w:pPr>
        <w:pStyle w:val="BodyText"/>
      </w:pPr>
      <w:r>
        <w:rPr>
          <w:bCs/>
          <w:b/>
        </w:rPr>
        <w:t xml:space="preserve">Sales Insight:</w:t>
      </w:r>
      <w:r>
        <w:t xml:space="preserve"> </w:t>
      </w:r>
      <w:r>
        <w:t xml:space="preserve">Our Manila sales strategy focused on "cultural alignment" – demonstrating deep understanding of Philippine community needs and local construction practices – directly contributed to the 72% conversion rate from City Hall tenders, outperforming industry average by 28 points.</w:t>
      </w:r>
    </w:p>
    <w:bookmarkEnd w:id="22"/>
    <w:bookmarkEnd w:id="23"/>
    <w:bookmarkStart w:id="26" w:name="client-feedback-project-highlights"/>
    <w:p>
      <w:pPr>
        <w:pStyle w:val="Heading2"/>
      </w:pPr>
      <w:r>
        <w:t xml:space="preserve">4. Client Feedback &amp; Project Highlights</w:t>
      </w:r>
    </w:p>
    <w:bookmarkStart w:id="24" w:name="X1363c3ba3a0ae61e17572586f043e5e1a30bfaf"/>
    <w:p>
      <w:pPr>
        <w:pStyle w:val="Heading3"/>
      </w:pPr>
      <w:r>
        <w:t xml:space="preserve">Key Project: "Luzon Garden Towers" (Quezon City)</w:t>
      </w:r>
    </w:p>
    <w:p>
      <w:pPr>
        <w:pStyle w:val="FirstParagraph"/>
      </w:pPr>
      <w:r>
        <w:t xml:space="preserve">This landmark residential project showcases our Architect team's mastery of Manila-specific challenges. We designed the building to withstand typhoon-force winds (Category 5) while incorporating Filipino vernacular elements like *alang-alang* roofing and *kamagayan* communal spaces. The project generated $420K in sales revenue and was featured in the Philippine Architectural Review as "a benchmark for sustainable urban living in Philippines Manila".</w:t>
      </w:r>
    </w:p>
    <w:bookmarkEnd w:id="24"/>
    <w:bookmarkStart w:id="25" w:name="client-testimonial"/>
    <w:p>
      <w:pPr>
        <w:pStyle w:val="Heading3"/>
      </w:pPr>
      <w:r>
        <w:t xml:space="preserve">Client Testimonial:</w:t>
      </w:r>
    </w:p>
    <w:p>
      <w:pPr>
        <w:pStyle w:val="FirstParagraph"/>
      </w:pPr>
      <w:r>
        <w:t xml:space="preserve">"Their Architect team didn't just create blueprints – they understood how Filipinos live. The rainwater harvesting system reduced water bills by 40%, and the open-air *kitchen* design was a cultural game-changer for our residents." – Maria Santos, Development Head, Quezon City Properties</w:t>
      </w:r>
    </w:p>
    <w:bookmarkEnd w:id="25"/>
    <w:bookmarkEnd w:id="26"/>
    <w:bookmarkStart w:id="27" w:name="challenges-in-philippines-manila-market"/>
    <w:p>
      <w:pPr>
        <w:pStyle w:val="Heading2"/>
      </w:pPr>
      <w:r>
        <w:t xml:space="preserve">5. Challenges in Philippines Manila Market</w:t>
      </w:r>
    </w:p>
    <w:p>
      <w:pPr>
        <w:pStyle w:val="FirstParagraph"/>
      </w:pPr>
      <w:r>
        <w:t xml:space="preserve">Our Q3 Sales Report identifies three persistent challenges requiring strategic adaptation:</w:t>
      </w:r>
    </w:p>
    <w:p>
      <w:pPr>
        <w:numPr>
          <w:ilvl w:val="0"/>
          <w:numId w:val="1002"/>
        </w:numPr>
        <w:pStyle w:val="Compact"/>
      </w:pPr>
      <w:r>
        <w:rPr>
          <w:bCs/>
          <w:b/>
        </w:rPr>
        <w:t xml:space="preserve">Permitting Complexity:</w:t>
      </w:r>
      <w:r>
        <w:t xml:space="preserve"> </w:t>
      </w:r>
      <w:r>
        <w:t xml:space="preserve">Average 142 days to secure building permits in Manila compared to 90 days in Cebu, slowing project starts. Our Architect team now dedicates 30% of sales efforts to pre-application compliance coaching.</w:t>
      </w:r>
    </w:p>
    <w:p>
      <w:pPr>
        <w:numPr>
          <w:ilvl w:val="0"/>
          <w:numId w:val="1002"/>
        </w:numPr>
        <w:pStyle w:val="Compact"/>
      </w:pPr>
      <w:r>
        <w:rPr>
          <w:bCs/>
          <w:b/>
        </w:rPr>
        <w:t xml:space="preserve">Material Cost Volatility:</w:t>
      </w:r>
      <w:r>
        <w:t xml:space="preserve"> </w:t>
      </w:r>
      <w:r>
        <w:t xml:space="preserve">Cement prices surged 22% YoY due to global supply chains. We mitigated this through our "Local Material Sourcing Protocol" – a sales feature showcasing cost-saving alternatives using Philippine bamboo and *buri* palm fiber.</w:t>
      </w:r>
    </w:p>
    <w:p>
      <w:pPr>
        <w:numPr>
          <w:ilvl w:val="0"/>
          <w:numId w:val="1002"/>
        </w:numPr>
        <w:pStyle w:val="Compact"/>
      </w:pPr>
      <w:r>
        <w:rPr>
          <w:bCs/>
          <w:b/>
        </w:rPr>
        <w:t xml:space="preserve">Cultural Nuance Expectations:</w:t>
      </w:r>
      <w:r>
        <w:t xml:space="preserve"> </w:t>
      </w:r>
      <w:r>
        <w:t xml:space="preserve">Overseas developers often misunderstand Filipino family living patterns. Our Architect training now includes mandatory cultural immersion modules for all client-facing staff.</w:t>
      </w:r>
    </w:p>
    <w:bookmarkEnd w:id="27"/>
    <w:bookmarkStart w:id="28" w:name="strategic-outlook-for-q4-2023"/>
    <w:p>
      <w:pPr>
        <w:pStyle w:val="Heading2"/>
      </w:pPr>
      <w:r>
        <w:t xml:space="preserve">6. Strategic Outlook for Q4 2023</w:t>
      </w:r>
    </w:p>
    <w:p>
      <w:pPr>
        <w:pStyle w:val="FirstParagraph"/>
      </w:pPr>
      <w:r>
        <w:t xml:space="preserve">Based on our comprehensive Sales Report analysis, we're prioritizing three growth initiatives:</w:t>
      </w:r>
    </w:p>
    <w:p>
      <w:pPr>
        <w:numPr>
          <w:ilvl w:val="0"/>
          <w:numId w:val="1003"/>
        </w:numPr>
        <w:pStyle w:val="Compact"/>
      </w:pPr>
      <w:r>
        <w:rPr>
          <w:bCs/>
          <w:b/>
        </w:rPr>
        <w:t xml:space="preserve">Philippines Manila "Green Corridor" Initiative:</w:t>
      </w:r>
      <w:r>
        <w:t xml:space="preserve"> </w:t>
      </w:r>
      <w:r>
        <w:t xml:space="preserve">Targeting 5 new government-led sustainable infrastructure projects (including Manila Bay rehabilitation) through strategic partnerships with DPWH.</w:t>
      </w:r>
    </w:p>
    <w:p>
      <w:pPr>
        <w:numPr>
          <w:ilvl w:val="0"/>
          <w:numId w:val="1003"/>
        </w:numPr>
        <w:pStyle w:val="Compact"/>
      </w:pPr>
      <w:r>
        <w:rPr>
          <w:bCs/>
          <w:b/>
        </w:rPr>
        <w:t xml:space="preserve">Resident-Centric Architect Packages:</w:t>
      </w:r>
      <w:r>
        <w:t xml:space="preserve"> </w:t>
      </w:r>
      <w:r>
        <w:t xml:space="preserve">Launching tiered service bundles for mid-market housing developers focused on cultural adaptation – projected to capture 25% market share in this segment by Q2 2024.</w:t>
      </w:r>
    </w:p>
    <w:p>
      <w:pPr>
        <w:numPr>
          <w:ilvl w:val="0"/>
          <w:numId w:val="1003"/>
        </w:numPr>
        <w:pStyle w:val="Compact"/>
      </w:pPr>
      <w:r>
        <w:rPr>
          <w:bCs/>
          <w:b/>
        </w:rPr>
        <w:t xml:space="preserve">Digital Sales Transformation:</w:t>
      </w:r>
      <w:r>
        <w:t xml:space="preserve"> </w:t>
      </w:r>
      <w:r>
        <w:t xml:space="preserve">Implementing a Manila-specific virtual reality design showcase for clients, reducing site visit requirements by 65% and accelerating sales cycles.</w:t>
      </w:r>
    </w:p>
    <w:bookmarkEnd w:id="28"/>
    <w:bookmarkStart w:id="29" w:name="X2e6af41063719a2cb8467bb0ee2877e7933712c"/>
    <w:p>
      <w:pPr>
        <w:pStyle w:val="Heading2"/>
      </w:pPr>
      <w:r>
        <w:t xml:space="preserve">7. Conclusion: The Architect Advantage in Philippines Manila</w:t>
      </w:r>
    </w:p>
    <w:p>
      <w:pPr>
        <w:pStyle w:val="FirstParagraph"/>
      </w:pPr>
      <w:r>
        <w:t xml:space="preserve">This Sales Report unequivocally confirms that our deep expertise as an Architect specializing in the Philippine urban context delivers measurable competitive advantage. By embedding cultural intelligence, local material knowledge, and regulatory navigation into our sales process for the Manila market, we've not only met but exceeded annual revenue targets by 14% while building enduring client relationships. The 32% increase in repeat business from Manila-based developers demonstrates how our Architect services have become indispensable to successful development projects across the Philippines capital.</w:t>
      </w:r>
    </w:p>
    <w:p>
      <w:pPr>
        <w:pStyle w:val="BodyText"/>
      </w:pPr>
      <w:r>
        <w:t xml:space="preserve">As we enter the final quarter of 2023, our sales strategy remains laser-focused on solving Manila's unique architectural challenges through culturally resonant design – a capability that continues to differentiate us in this competitive market. The path forward requires doubling down on hyper-localized Architect solutions, ensuring every proposal addresses not just structural requirements but the heart of Philippine urban living.</w:t>
      </w:r>
    </w:p>
    <w:p>
      <w:pPr>
        <w:pStyle w:val="BodyText"/>
      </w:pPr>
      <w:r>
        <w:rPr>
          <w:bCs/>
          <w:b/>
        </w:rPr>
        <w:t xml:space="preserve">Prepared By:</w:t>
      </w:r>
      <w:r>
        <w:t xml:space="preserve"> </w:t>
      </w:r>
      <w:r>
        <w:t xml:space="preserve">Carlos Mendoza, Director of Sales &amp; Market Strategy</w:t>
      </w:r>
      <w:r>
        <w:br/>
      </w:r>
      <w:r>
        <w:rPr>
          <w:bCs/>
          <w:b/>
        </w:rPr>
        <w:t xml:space="preserve">Contact:</w:t>
      </w:r>
      <w:r>
        <w:t xml:space="preserve"> </w:t>
      </w:r>
      <w:r>
        <w:t xml:space="preserve">cmendoza@manilamarketarchitects.ph | +63 2 812-3456</w:t>
      </w:r>
    </w:p>
    <w:p>
      <w:pPr>
        <w:pStyle w:val="BodyText"/>
      </w:pPr>
      <w:r>
        <w:rPr>
          <w:iCs/>
          <w:i/>
        </w:rPr>
        <w:t xml:space="preserve">"In the Philippines Manila market, an Architect isn't just a designer – they're the cultural bridge between vision and reality."</w:t>
      </w:r>
      <w:r>
        <w:t xml:space="preserve"> </w:t>
      </w:r>
      <w:r>
        <w:t xml:space="preserve">– This Sales Report validates our position as that essential bridge for developers across the Philippine 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Architect Services in Philippines Manila</dc:title>
  <dc:creator/>
  <dc:language>en</dc:language>
  <cp:keywords/>
  <dcterms:created xsi:type="dcterms:W3CDTF">2026-07-20T08:52:22Z</dcterms:created>
  <dcterms:modified xsi:type="dcterms:W3CDTF">2026-07-20T08:52:22Z</dcterms:modified>
</cp:coreProperties>
</file>

<file path=docProps/custom.xml><?xml version="1.0" encoding="utf-8"?>
<Properties xmlns="http://schemas.openxmlformats.org/officeDocument/2006/custom-properties" xmlns:vt="http://schemas.openxmlformats.org/officeDocument/2006/docPropsVTypes"/>
</file>