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Performance</w:t>
      </w:r>
      <w:r>
        <w:t xml:space="preserve"> </w:t>
      </w:r>
      <w:r>
        <w:t xml:space="preserve">in</w:t>
      </w:r>
      <w:r>
        <w:t xml:space="preserve"> </w:t>
      </w:r>
      <w:r>
        <w:t xml:space="preserve">Russia</w:t>
      </w:r>
      <w:r>
        <w:t xml:space="preserve"> </w:t>
      </w:r>
      <w:r>
        <w:t xml:space="preserve">Moscow</w:t>
      </w:r>
      <w:r>
        <w:t xml:space="preserve"> </w:t>
      </w:r>
      <w:r>
        <w:t xml:space="preserve">Market</w:t>
      </w:r>
    </w:p>
    <w:bookmarkStart w:id="27" w:name="X9097acc6bea11f5da4ccb8b6ca61887d31d936d"/>
    <w:p>
      <w:pPr>
        <w:pStyle w:val="Heading1"/>
      </w:pPr>
      <w:r>
        <w:t xml:space="preserve">Sales Report: Architectural Practice Performance Analysis in Russia Moscow, Q3 2023</w:t>
      </w:r>
    </w:p>
    <w:p>
      <w:pPr>
        <w:pStyle w:val="FirstParagraph"/>
      </w:pPr>
      <w:r>
        <w:rPr>
          <w:bCs/>
          <w:b/>
        </w:rPr>
        <w:t xml:space="preserve">Prepared For:</w:t>
      </w:r>
      <w:r>
        <w:t xml:space="preserve"> </w:t>
      </w:r>
      <w:r>
        <w:t xml:space="preserve">Executive Leadership &amp; Stakeholders |</w:t>
      </w:r>
      <w:r>
        <w:t xml:space="preserve"> </w:t>
      </w:r>
      <w:r>
        <w:rPr>
          <w:bCs/>
          <w:b/>
        </w:rPr>
        <w:t xml:space="preserve">Date:</w:t>
      </w:r>
      <w:r>
        <w:t xml:space="preserve"> </w:t>
      </w:r>
      <w:r>
        <w:t xml:space="preserve">October 26, 2023 |</w:t>
      </w:r>
      <w:r>
        <w:t xml:space="preserve"> </w:t>
      </w:r>
      <w:r>
        <w:rPr>
          <w:bCs/>
          <w:b/>
        </w:rPr>
        <w:t xml:space="preserve">Document Type:</w:t>
      </w:r>
      <w:r>
        <w:t xml:space="preserve"> </w:t>
      </w:r>
      <w:r>
        <w:t xml:space="preserve">Strategic Sales Performance Report</w:t>
      </w:r>
    </w:p>
    <w:bookmarkStart w:id="20" w:name="i.-executive-summary"/>
    <w:p>
      <w:pPr>
        <w:pStyle w:val="Heading2"/>
      </w:pPr>
      <w:r>
        <w:t xml:space="preserve">I. Executive Summary</w:t>
      </w:r>
    </w:p>
    <w:p>
      <w:pPr>
        <w:pStyle w:val="FirstParagraph"/>
      </w:pPr>
      <w:r>
        <w:t xml:space="preserve">This comprehensive Sales Report details the operational and commercial performance of our architectural practice within the dynamic Russia Moscow market during Q3 2023. As a leading architectural firm specializing in high-complexity projects, we have achieved a 17% year-over-year growth in project acquisition revenue, driven by strategic positioning within Moscow’s premium real estate and urban development sectors. This report underscores how our</w:t>
      </w:r>
      <w:r>
        <w:t xml:space="preserve"> </w:t>
      </w:r>
      <w:r>
        <w:rPr>
          <w:bCs/>
          <w:b/>
        </w:rPr>
        <w:t xml:space="preserve">Architect</w:t>
      </w:r>
      <w:r>
        <w:t xml:space="preserve">'s design innovation and client-centric approach directly fuel sales success across the Russian capital. The Russia Moscow market remains our primary growth engine, accounting for 89% of total firm revenue in this quarter.</w:t>
      </w:r>
    </w:p>
    <w:bookmarkEnd w:id="20"/>
    <w:bookmarkStart w:id="21" w:name="X4b6f0e412bf03dbd360da9a28055e24e36962eb"/>
    <w:p>
      <w:pPr>
        <w:pStyle w:val="Heading2"/>
      </w:pPr>
      <w:r>
        <w:t xml:space="preserve">II. Market Context: Russia Moscow Real Estate Dynamics</w:t>
      </w:r>
    </w:p>
    <w:p>
      <w:pPr>
        <w:pStyle w:val="FirstParagraph"/>
      </w:pPr>
      <w:r>
        <w:t xml:space="preserve">The Moscow architectural landscape is defined by stringent regulatory frameworks (including SNiP codes), intense competition among international and domestic firms, and surging demand for sustainable luxury developments. Our Sales Report identifies three critical trends shaping opportunities:</w:t>
      </w:r>
    </w:p>
    <w:p>
      <w:pPr>
        <w:numPr>
          <w:ilvl w:val="0"/>
          <w:numId w:val="1001"/>
        </w:numPr>
        <w:pStyle w:val="Compact"/>
      </w:pPr>
      <w:r>
        <w:rPr>
          <w:bCs/>
          <w:b/>
        </w:rPr>
        <w:t xml:space="preserve">Government-Driven Urban Renewal:</w:t>
      </w:r>
      <w:r>
        <w:t xml:space="preserve"> </w:t>
      </w:r>
      <w:r>
        <w:t xml:space="preserve">Federal initiatives like "My City" program created 24 high-value public infrastructure projects in Moscow Q3, directly targeting architectural firms with expertise in historical district integration.</w:t>
      </w:r>
    </w:p>
    <w:p>
      <w:pPr>
        <w:numPr>
          <w:ilvl w:val="0"/>
          <w:numId w:val="1001"/>
        </w:numPr>
        <w:pStyle w:val="Compact"/>
      </w:pPr>
      <w:r>
        <w:rPr>
          <w:bCs/>
          <w:b/>
        </w:rPr>
        <w:t xml:space="preserve">Luxury Residential Boom:</w:t>
      </w:r>
      <w:r>
        <w:t xml:space="preserve"> </w:t>
      </w:r>
      <w:r>
        <w:t xml:space="preserve">32% of our new client acquisition came from ultra-premium residential developers targeting the Zaryadye and Novy Arbat districts, where design differentiation is paramount for sales success.</w:t>
      </w:r>
    </w:p>
    <w:p>
      <w:pPr>
        <w:numPr>
          <w:ilvl w:val="0"/>
          <w:numId w:val="1001"/>
        </w:numPr>
        <w:pStyle w:val="Compact"/>
      </w:pPr>
      <w:r>
        <w:rPr>
          <w:bCs/>
          <w:b/>
        </w:rPr>
        <w:t xml:space="preserve">Sustainability Mandates:</w:t>
      </w:r>
      <w:r>
        <w:t xml:space="preserve"> </w:t>
      </w:r>
      <w:r>
        <w:t xml:space="preserve">Moscow’s 2023 Building Code Amendment (Article 14.7) now requires all new constructions over 50m² to achieve Energy Efficiency Class B+ – a key differentiator our</w:t>
      </w:r>
      <w:r>
        <w:t xml:space="preserve"> </w:t>
      </w:r>
      <w:r>
        <w:rPr>
          <w:bCs/>
          <w:b/>
        </w:rPr>
        <w:t xml:space="preserve">Architect</w:t>
      </w:r>
      <w:r>
        <w:t xml:space="preserve"> </w:t>
      </w:r>
      <w:r>
        <w:t xml:space="preserve">team leverages in proposals.</w:t>
      </w:r>
    </w:p>
    <w:bookmarkEnd w:id="21"/>
    <w:bookmarkStart w:id="22" w:name="X775f33f0507c3738a1681ee1b89a416c61b58a3"/>
    <w:p>
      <w:pPr>
        <w:pStyle w:val="Heading2"/>
      </w:pPr>
      <w:r>
        <w:t xml:space="preserve">III. Sales Performance Highlights: Russia Moscow Focus</w:t>
      </w:r>
    </w:p>
    <w:p>
      <w:pPr>
        <w:pStyle w:val="FirstParagraph"/>
      </w:pPr>
      <w:r>
        <w:t xml:space="preserve">This quarter’s success stems from hyper-localized sales strategies tailored to Moscow’s unique business culture:</w:t>
      </w:r>
    </w:p>
    <w:p>
      <w:pPr>
        <w:pStyle w:val="BodyText"/>
      </w:pPr>
      <w:r>
        <w:t xml:space="preserve">Project Type</w:t>
      </w:r>
    </w:p>
    <w:p>
      <w:pPr>
        <w:pStyle w:val="BodyText"/>
      </w:pPr>
      <w:r>
        <w:t xml:space="preserve">Revenue (RUB)</w:t>
      </w:r>
    </w:p>
    <w:p>
      <w:pPr>
        <w:pStyle w:val="BodyText"/>
      </w:pPr>
      <w:r>
        <w:t xml:space="preserve">Client Acquisition Rate</w:t>
      </w:r>
    </w:p>
    <w:p>
      <w:pPr>
        <w:pStyle w:val="BodyText"/>
      </w:pPr>
      <w:r>
        <w:t xml:space="preserve">Moscow Market Share Gain</w:t>
      </w:r>
    </w:p>
    <w:p>
      <w:pPr>
        <w:pStyle w:val="BodyText"/>
      </w:pPr>
      <w:r>
        <w:t xml:space="preserve">Luxury Residential Towers (Moscow City)</w:t>
      </w:r>
    </w:p>
    <w:p>
      <w:pPr>
        <w:pStyle w:val="BodyText"/>
      </w:pPr>
      <w:r>
        <w:t xml:space="preserve">142,500,000</w:t>
      </w:r>
    </w:p>
    <w:p>
      <w:pPr>
        <w:pStyle w:val="BodyText"/>
      </w:pPr>
      <w:r>
        <w:t xml:space="preserve">87%</w:t>
      </w:r>
    </w:p>
    <w:p>
      <w:pPr>
        <w:pStyle w:val="BodyText"/>
      </w:pPr>
      <w:r>
        <w:t xml:space="preserve">+9.3%</w:t>
      </w:r>
    </w:p>
    <w:p>
      <w:pPr>
        <w:pStyle w:val="BodyText"/>
      </w:pPr>
      <w:r>
        <w:t xml:space="preserve">Hospitality Redevelopment (Krasnaya Presnya)</w:t>
      </w:r>
    </w:p>
    <w:p>
      <w:pPr>
        <w:pStyle w:val="BodyText"/>
      </w:pPr>
      <w:r>
        <w:t xml:space="preserve">89,750,000</w:t>
      </w:r>
    </w:p>
    <w:p>
      <w:pPr>
        <w:pStyle w:val="BodyText"/>
      </w:pPr>
      <w:r>
        <w:t xml:space="preserve">92%</w:t>
      </w:r>
    </w:p>
    <w:p>
      <w:pPr>
        <w:pStyle w:val="BodyText"/>
      </w:pPr>
      <w:r>
        <w:t xml:space="preserve">+6.1%</w:t>
      </w:r>
    </w:p>
    <w:p>
      <w:pPr>
        <w:pStyle w:val="BodyText"/>
      </w:pPr>
      <w:r>
        <w:t xml:space="preserve">Government Public Facility (Central Moscow)</w:t>
      </w:r>
    </w:p>
    <w:p>
      <w:pPr>
        <w:pStyle w:val="BodyText"/>
      </w:pPr>
      <w:r>
        <w:t xml:space="preserve">63,400,000</w:t>
      </w:r>
    </w:p>
    <w:p>
      <w:pPr>
        <w:pStyle w:val="BodyText"/>
      </w:pPr>
      <w:r>
        <w:t xml:space="preserve">78%</w:t>
      </w:r>
    </w:p>
    <w:p>
      <w:pPr>
        <w:pStyle w:val="BodyText"/>
      </w:pPr>
      <w:r>
        <w:t xml:space="preserve">+4.8%</w:t>
      </w:r>
    </w:p>
    <w:p>
      <w:pPr>
        <w:pStyle w:val="BodyText"/>
      </w:pPr>
      <w:r>
        <w:t xml:space="preserve">Total</w:t>
      </w:r>
    </w:p>
    <w:p>
      <w:pPr>
        <w:pStyle w:val="BodyText"/>
      </w:pPr>
      <w:r>
        <w:t xml:space="preserve">295,650,000</w:t>
      </w:r>
    </w:p>
    <w:p>
      <w:pPr>
        <w:pStyle w:val="BodyText"/>
      </w:pPr>
      <w:r>
        <w:t xml:space="preserve">Avg: 85.7%</w:t>
      </w:r>
    </w:p>
    <w:p>
      <w:pPr>
        <w:pStyle w:val="BodyText"/>
      </w:pPr>
      <w:r>
        <w:t xml:space="preserve">Total: +11.4% YoY</w:t>
      </w:r>
    </w:p>
    <w:p>
      <w:pPr>
        <w:pStyle w:val="BodyText"/>
      </w:pPr>
      <w:r>
        <w:t xml:space="preserve">Notably, all projects secured through our Russia Moscow office demonstrated a 23% average premium over competitor bids – directly attributable to the</w:t>
      </w:r>
      <w:r>
        <w:t xml:space="preserve"> </w:t>
      </w:r>
      <w:r>
        <w:rPr>
          <w:bCs/>
          <w:b/>
        </w:rPr>
        <w:t xml:space="preserve">Architect</w:t>
      </w:r>
      <w:r>
        <w:t xml:space="preserve">'s signature integrated design-sustainability methodology validated by Moscow Department of Architecture approvals.</w:t>
      </w:r>
    </w:p>
    <w:bookmarkEnd w:id="22"/>
    <w:bookmarkStart w:id="23" w:name="X369900c4f7a57563054fbc8dfeb2047fc9fefd0"/>
    <w:p>
      <w:pPr>
        <w:pStyle w:val="Heading2"/>
      </w:pPr>
      <w:r>
        <w:t xml:space="preserve">IV. Architect-Driven Sales Differentiation</w:t>
      </w:r>
    </w:p>
    <w:p>
      <w:pPr>
        <w:pStyle w:val="FirstParagraph"/>
      </w:pPr>
      <w:r>
        <w:t xml:space="preserve">Our Sales Report reveals how the Principal</w:t>
      </w:r>
      <w:r>
        <w:t xml:space="preserve"> </w:t>
      </w:r>
      <w:r>
        <w:rPr>
          <w:bCs/>
          <w:b/>
        </w:rPr>
        <w:t xml:space="preserve">Architect</w:t>
      </w:r>
      <w:r>
        <w:t xml:space="preserve">, Maria Petrova, drives revenue through three pillars:</w:t>
      </w:r>
    </w:p>
    <w:p>
      <w:pPr>
        <w:numPr>
          <w:ilvl w:val="0"/>
          <w:numId w:val="1002"/>
        </w:numPr>
        <w:pStyle w:val="Compact"/>
      </w:pPr>
      <w:r>
        <w:rPr>
          <w:bCs/>
          <w:b/>
        </w:rPr>
        <w:t xml:space="preserve">Cultural Intelligence:</w:t>
      </w:r>
      <w:r>
        <w:t xml:space="preserve"> </w:t>
      </w:r>
      <w:r>
        <w:t xml:space="preserve">Petrova’s 15-year Moscow market knowledge enables precise client relationship navigation – understanding that Russian developers prioritize "design credibility" (verified through portfolio of completed city-center projects) over purely financial terms.</w:t>
      </w:r>
    </w:p>
    <w:p>
      <w:pPr>
        <w:numPr>
          <w:ilvl w:val="0"/>
          <w:numId w:val="1002"/>
        </w:numPr>
        <w:pStyle w:val="Compact"/>
      </w:pPr>
      <w:r>
        <w:rPr>
          <w:bCs/>
          <w:b/>
        </w:rPr>
        <w:t xml:space="preserve">Regulatory Mastery:</w:t>
      </w:r>
      <w:r>
        <w:t xml:space="preserve"> </w:t>
      </w:r>
      <w:r>
        <w:t xml:space="preserve">Her team’s proactive engagement with Moscow Department of Urban Planning during concept stages reduced approval delays by 40%, a critical factor in the sales process for time-sensitive clients.</w:t>
      </w:r>
    </w:p>
    <w:p>
      <w:pPr>
        <w:numPr>
          <w:ilvl w:val="0"/>
          <w:numId w:val="1002"/>
        </w:numPr>
        <w:pStyle w:val="Compact"/>
      </w:pPr>
      <w:r>
        <w:rPr>
          <w:bCs/>
          <w:b/>
        </w:rPr>
        <w:t xml:space="preserve">Sustainability as Sales Tool:</w:t>
      </w:r>
      <w:r>
        <w:t xml:space="preserve"> </w:t>
      </w:r>
      <w:r>
        <w:t xml:space="preserve">Our "Moscow Green Certification" framework (exceeding local codes) became the decisive differentiator in 18 of 23 new contracts this quarter.</w:t>
      </w:r>
    </w:p>
    <w:bookmarkEnd w:id="23"/>
    <w:bookmarkStart w:id="24" w:name="X16b6d1c1bd9ea0ada49d2509f059fc73a70d6e0"/>
    <w:p>
      <w:pPr>
        <w:pStyle w:val="Heading2"/>
      </w:pPr>
      <w:r>
        <w:t xml:space="preserve">V. Challenges &amp; Strategic Adaptations in Russia Moscow</w:t>
      </w:r>
    </w:p>
    <w:p>
      <w:pPr>
        <w:pStyle w:val="FirstParagraph"/>
      </w:pPr>
      <w:r>
        <w:t xml:space="preserve">Despite strong performance, our Sales Report identifies critical market challenges requiring adaptive sales strategies:</w:t>
      </w:r>
    </w:p>
    <w:p>
      <w:pPr>
        <w:numPr>
          <w:ilvl w:val="0"/>
          <w:numId w:val="1003"/>
        </w:numPr>
        <w:pStyle w:val="Compact"/>
      </w:pPr>
      <w:r>
        <w:rPr>
          <w:bCs/>
          <w:b/>
        </w:rPr>
        <w:t xml:space="preserve">Currency Volatility:</w:t>
      </w:r>
      <w:r>
        <w:t xml:space="preserve"> </w:t>
      </w:r>
      <w:r>
        <w:t xml:space="preserve">14% of client budget negotiations required dynamic pricing models due to ruble fluctuations. Our solution: Fixed-RUB contracts with 3-month adjustment clauses – adopted in 92% of new deals.</w:t>
      </w:r>
    </w:p>
    <w:p>
      <w:pPr>
        <w:numPr>
          <w:ilvl w:val="0"/>
          <w:numId w:val="1003"/>
        </w:numPr>
        <w:pStyle w:val="Compact"/>
      </w:pPr>
      <w:r>
        <w:rPr>
          <w:bCs/>
          <w:b/>
        </w:rPr>
        <w:t xml:space="preserve">Compliance Complexity:</w:t>
      </w:r>
      <w:r>
        <w:t xml:space="preserve"> </w:t>
      </w:r>
      <w:r>
        <w:t xml:space="preserve">New Moscow heritage preservation rules (applicable to 60% of central districts) necessitated specialized</w:t>
      </w:r>
      <w:r>
        <w:t xml:space="preserve"> </w:t>
      </w:r>
      <w:r>
        <w:rPr>
          <w:bCs/>
          <w:b/>
        </w:rPr>
        <w:t xml:space="preserve">Architect</w:t>
      </w:r>
      <w:r>
        <w:t xml:space="preserve">-led client education sessions, directly increasing conversion rates by 27%.</w:t>
      </w:r>
    </w:p>
    <w:p>
      <w:pPr>
        <w:numPr>
          <w:ilvl w:val="0"/>
          <w:numId w:val="1003"/>
        </w:numPr>
        <w:pStyle w:val="Compact"/>
      </w:pPr>
      <w:r>
        <w:rPr>
          <w:bCs/>
          <w:b/>
        </w:rPr>
        <w:t xml:space="preserve">Talent Competition:</w:t>
      </w:r>
      <w:r>
        <w:t xml:space="preserve"> </w:t>
      </w:r>
      <w:r>
        <w:t xml:space="preserve">Top-tier Moscow-based architects are scarce. Our sales team now includes dedicated "design liaison" roles to bridge technical expertise with client expectations – a practice adopted after feedback from Russia Moscow clients.</w:t>
      </w:r>
    </w:p>
    <w:bookmarkEnd w:id="24"/>
    <w:bookmarkStart w:id="25" w:name="X7406de60a3a2aa259f68b6dcbd58a948ae9e4db"/>
    <w:p>
      <w:pPr>
        <w:pStyle w:val="Heading2"/>
      </w:pPr>
      <w:r>
        <w:t xml:space="preserve">VI. Future Outlook: Strategic Sales Recommendations for Russia Moscow</w:t>
      </w:r>
    </w:p>
    <w:p>
      <w:pPr>
        <w:pStyle w:val="FirstParagraph"/>
      </w:pPr>
      <w:r>
        <w:t xml:space="preserve">Based on Q3 data, our Sales Report recommends:</w:t>
      </w:r>
    </w:p>
    <w:p>
      <w:pPr>
        <w:numPr>
          <w:ilvl w:val="0"/>
          <w:numId w:val="1004"/>
        </w:numPr>
        <w:pStyle w:val="Compact"/>
      </w:pPr>
      <w:r>
        <w:rPr>
          <w:bCs/>
          <w:b/>
        </w:rPr>
        <w:t xml:space="preserve">Expand Government Partnership Program:</w:t>
      </w:r>
      <w:r>
        <w:t xml:space="preserve"> </w:t>
      </w:r>
      <w:r>
        <w:t xml:space="preserve">Target 15+ new municipal contracts by Q2 2024 through dedicated Moscow Department of Architecture engagement – projected to generate RUB 78M in revenue.</w:t>
      </w:r>
    </w:p>
    <w:p>
      <w:pPr>
        <w:numPr>
          <w:ilvl w:val="0"/>
          <w:numId w:val="1004"/>
        </w:numPr>
        <w:pStyle w:val="Compact"/>
      </w:pPr>
      <w:r>
        <w:rPr>
          <w:bCs/>
          <w:b/>
        </w:rPr>
        <w:t xml:space="preserve">Launch "Moscow Heritage Design" Service Line:</w:t>
      </w:r>
      <w:r>
        <w:t xml:space="preserve"> </w:t>
      </w:r>
      <w:r>
        <w:t xml:space="preserve">Package our expertise in historical district integration into a premium service tier (estimated 35% margin uplift).</w:t>
      </w:r>
    </w:p>
    <w:bookmarkEnd w:id="25"/>
    <w:bookmarkStart w:id="26" w:name="X8149fffefa6f4f9ed7086a03b0820ce13b44b88"/>
    <w:p>
      <w:pPr>
        <w:pStyle w:val="Heading2"/>
      </w:pPr>
      <w:r>
        <w:t xml:space="preserve">VII. Conclusion: The Architect as Revenue Driver</w:t>
      </w:r>
    </w:p>
    <w:p>
      <w:pPr>
        <w:pStyle w:val="FirstParagraph"/>
      </w:pPr>
      <w:r>
        <w:t xml:space="preserve">This Sales Report conclusively demonstrates that in the Russia Moscow market, the</w:t>
      </w:r>
      <w:r>
        <w:t xml:space="preserve"> </w:t>
      </w:r>
      <w:r>
        <w:rPr>
          <w:bCs/>
          <w:b/>
        </w:rPr>
        <w:t xml:space="preserve">Architect</w:t>
      </w:r>
      <w:r>
        <w:t xml:space="preserve"> </w:t>
      </w:r>
      <w:r>
        <w:t xml:space="preserve">is not merely a creative role but the central revenue engine. Our data shows that projects led by our Principal Architect achieved 47% higher client retention rates and 31% faster project handover cycles – directly contributing to repeat business (58% of Q3 revenue came from returning clients). As Moscow’s urban transformation accelerates, firms with deeply embedded local architectural expertise will dominate the market. This quarter’s results position our practice as a leader in Russia Moscow through design innovation that directly converts into sales success. We recommend full-scale resource allocation to our Moscow office to capitalize on the projected 22% market growth in premium architectural services by 2025.</w:t>
      </w:r>
    </w:p>
    <w:p>
      <w:pPr>
        <w:pStyle w:val="BodyText"/>
      </w:pPr>
      <w:r>
        <w:rPr>
          <w:bCs/>
          <w:b/>
        </w:rPr>
        <w:t xml:space="preserve">Prepared By:</w:t>
      </w:r>
      <w:r>
        <w:t xml:space="preserve"> </w:t>
      </w:r>
      <w:r>
        <w:t xml:space="preserve">Alexander Volkov, Head of Business Development |</w:t>
      </w:r>
      <w:r>
        <w:t xml:space="preserve"> </w:t>
      </w:r>
      <w:r>
        <w:rPr>
          <w:bCs/>
          <w:b/>
        </w:rPr>
        <w:t xml:space="preserve">Architectural Practice Name:</w:t>
      </w:r>
      <w:r>
        <w:t xml:space="preserve"> </w:t>
      </w:r>
      <w:r>
        <w:t xml:space="preserve">MOSCOW DESIGN STUDIO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Performance in Russia Moscow Market</dc:title>
  <dc:creator/>
  <dc:language>en</dc:language>
  <cp:keywords/>
  <dcterms:created xsi:type="dcterms:W3CDTF">2026-07-23T03:21:36Z</dcterms:created>
  <dcterms:modified xsi:type="dcterms:W3CDTF">2026-07-23T03:21:36Z</dcterms:modified>
</cp:coreProperties>
</file>

<file path=docProps/custom.xml><?xml version="1.0" encoding="utf-8"?>
<Properties xmlns="http://schemas.openxmlformats.org/officeDocument/2006/custom-properties" xmlns:vt="http://schemas.openxmlformats.org/officeDocument/2006/docPropsVTypes"/>
</file>