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197d778e624eb4f724ff09b388c6e8856b0226"/>
    <w:p>
      <w:pPr>
        <w:pStyle w:val="Heading1"/>
      </w:pPr>
      <w:r>
        <w:t xml:space="preserve">Sales Report: Architectural Services Performance &amp; Strategic Growth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Architecture Division</w:t>
      </w:r>
      <w:r>
        <w:br/>
      </w:r>
      <w:r>
        <w:rPr>
          <w:bCs/>
          <w:b/>
        </w:rPr>
        <w:t xml:space="preserve">Purpose:</w:t>
      </w:r>
      <w:r>
        <w:t xml:space="preserve"> </w:t>
      </w:r>
      <w:r>
        <w:t xml:space="preserve">Comprehensive analysis of architectural sales performance, market trends, and strategic opportunities in Russia Saint Petersburg</w:t>
      </w:r>
    </w:p>
    <w:bookmarkStart w:id="20" w:name="X351523847a5292ff83de34337a88218c57486dc"/>
    <w:p>
      <w:pPr>
        <w:pStyle w:val="Heading2"/>
      </w:pPr>
      <w:r>
        <w:t xml:space="preserve">I. Executive Summary: Architectural Sales Momentum in Saint Petersburg</w:t>
      </w:r>
    </w:p>
    <w:p>
      <w:pPr>
        <w:pStyle w:val="FirstParagraph"/>
      </w:pPr>
      <w:r>
        <w:t xml:space="preserve">This Sales Report details the robust performance of our Architect firm across the Russia Saint Petersburg market during Q3 2023. The region has emerged as a pivotal growth engine for our global practice, with architectural service sales surging by 34% year-over-year and new client acquisition reaching record levels. Our strategic focus on high-value projects in Saint Petersburg's evolving urban landscape—spanning luxury residential, cultural heritage restoration, and sustainable commercial developments—has positioned us as a leading Architect partner for Russia's second-largest economic hub. The report underscores how our localized expertise in Russian architectural standards, combined with adaptive sales strategies tailored to Saint Petersburg’s unique market dynamics, has driven exceptional results.</w:t>
      </w:r>
    </w:p>
    <w:bookmarkEnd w:id="20"/>
    <w:bookmarkStart w:id="21" w:name="Xc59ed8bf5ab391bad445826a892f382e322db41"/>
    <w:p>
      <w:pPr>
        <w:pStyle w:val="Heading2"/>
      </w:pPr>
      <w:r>
        <w:t xml:space="preserve">II. Sales Performance: Quantitative Analysis in Russia Saint Petersburg</w:t>
      </w:r>
    </w:p>
    <w:p>
      <w:pPr>
        <w:pStyle w:val="FirstParagraph"/>
      </w:pPr>
      <w:r>
        <w:rPr>
          <w:bCs/>
          <w:b/>
        </w:rPr>
        <w:t xml:space="preserve">Key Metrics (Q3 2023):</w:t>
      </w:r>
    </w:p>
    <w:p>
      <w:pPr>
        <w:numPr>
          <w:ilvl w:val="0"/>
          <w:numId w:val="1001"/>
        </w:numPr>
        <w:pStyle w:val="Compact"/>
      </w:pPr>
      <w:r>
        <w:rPr>
          <w:bCs/>
          <w:b/>
        </w:rPr>
        <w:t xml:space="preserve">New Project Wins:</w:t>
      </w:r>
      <w:r>
        <w:t xml:space="preserve"> </w:t>
      </w:r>
      <w:r>
        <w:t xml:space="preserve">12 high-value architectural contracts secured in Saint Petersburg, representing $18.7M in service revenue (a 41% increase from Q2).</w:t>
      </w:r>
    </w:p>
    <w:p>
      <w:pPr>
        <w:numPr>
          <w:ilvl w:val="0"/>
          <w:numId w:val="1001"/>
        </w:numPr>
        <w:pStyle w:val="Compact"/>
      </w:pPr>
      <w:r>
        <w:t xml:space="preserve">5 new major clients from Russia’s corporate and governmental sectors, including a landmark partnership with the Saint Petersburg City Administration for urban renewal planning.</w:t>
      </w:r>
    </w:p>
    <w:p>
      <w:pPr>
        <w:numPr>
          <w:ilvl w:val="0"/>
          <w:numId w:val="1001"/>
        </w:numPr>
        <w:pStyle w:val="Compact"/>
      </w:pPr>
      <w:r>
        <w:t xml:space="preserve">Current portfolio includes 8 ongoing projects across key Saint Petersburg districts (Nevsky Prospekt, Vitebskaya Area, Kronstadt), with an additional $24.3M in signed LOIs pending final approvals.</w:t>
      </w:r>
    </w:p>
    <w:p>
      <w:pPr>
        <w:numPr>
          <w:ilvl w:val="0"/>
          <w:numId w:val="1001"/>
        </w:numPr>
        <w:pStyle w:val="Compact"/>
      </w:pPr>
      <w:r>
        <w:t xml:space="preserve">92% repeat client rate among existing Saint Petersburg accounts—demonstrating exceptional Architect service delivery and relationship management.</w:t>
      </w:r>
    </w:p>
    <w:p>
      <w:pPr>
        <w:pStyle w:val="FirstParagraph"/>
      </w:pPr>
      <w:r>
        <w:t xml:space="preserve">The success is rooted in our deep understanding of Russia’s architectural regulatory framework and Saint Petersburg’s distinct cultural priorities. For instance, our recent design for the "Neva River Cultural Complex" (a $7.2M project) integrated historic preservation guidelines while meeting modern sustainability benchmarks—a critical factor in winning this city-wide initiative from a consortium led by RosUrozhay, a major Russian state-owned developer.</w:t>
      </w:r>
    </w:p>
    <w:bookmarkEnd w:id="21"/>
    <w:bookmarkStart w:id="22" w:name="X91e4d147ebee796a857b9b696151bb63f01bda4"/>
    <w:p>
      <w:pPr>
        <w:pStyle w:val="Heading2"/>
      </w:pPr>
      <w:r>
        <w:t xml:space="preserve">III. Market Dynamics: Why Saint Petersburg is Central to Our Russia Strategy</w:t>
      </w:r>
    </w:p>
    <w:p>
      <w:pPr>
        <w:pStyle w:val="FirstParagraph"/>
      </w:pPr>
      <w:r>
        <w:t xml:space="preserve">Russia Saint Petersburg remains an unparalleled market for architectural innovation due to its dual identity as both a historical treasure and a modern economic powerhouse. As the nation’s cultural capital, it demands Architect solutions that respect its 300-year legacy while supporting rapid urbanization. This duality defines our sales approach:</w:t>
      </w:r>
    </w:p>
    <w:p>
      <w:pPr>
        <w:numPr>
          <w:ilvl w:val="0"/>
          <w:numId w:val="1002"/>
        </w:numPr>
        <w:pStyle w:val="Compact"/>
      </w:pPr>
      <w:r>
        <w:rPr>
          <w:bCs/>
          <w:b/>
        </w:rPr>
        <w:t xml:space="preserve">Heritage-Driven Demand:</w:t>
      </w:r>
      <w:r>
        <w:t xml:space="preserve"> </w:t>
      </w:r>
      <w:r>
        <w:t xml:space="preserve">78% of new projects in Saint Petersburg involve adaptive reuse or restoration of imperial-era structures. Our Architect team’s specialized training in Russian heritage conservation protocols has directly contributed to winning contracts previously inaccessible to foreign firms.</w:t>
      </w:r>
    </w:p>
    <w:p>
      <w:pPr>
        <w:numPr>
          <w:ilvl w:val="0"/>
          <w:numId w:val="1002"/>
        </w:numPr>
        <w:pStyle w:val="Compact"/>
      </w:pPr>
      <w:r>
        <w:rPr>
          <w:bCs/>
          <w:b/>
        </w:rPr>
        <w:t xml:space="preserve">Economic Catalysts:</w:t>
      </w:r>
      <w:r>
        <w:t xml:space="preserve"> </w:t>
      </w:r>
      <w:r>
        <w:t xml:space="preserve">The city’s "Smart City" initiative and federal funding for infrastructure upgrades have created a 22% YoY growth in commercial architecture needs. Our sales team actively partners with local agencies like Saint Petersburg Municipal Development Office to align projects with these priorities.</w:t>
      </w:r>
    </w:p>
    <w:p>
      <w:pPr>
        <w:numPr>
          <w:ilvl w:val="0"/>
          <w:numId w:val="1002"/>
        </w:numPr>
        <w:pStyle w:val="Compact"/>
      </w:pPr>
      <w:r>
        <w:rPr>
          <w:bCs/>
          <w:b/>
        </w:rPr>
        <w:t xml:space="preserve">Competitive Differentiation:</w:t>
      </w:r>
      <w:r>
        <w:t xml:space="preserve"> </w:t>
      </w:r>
      <w:r>
        <w:t xml:space="preserve">Unlike global competitors who offer generic designs, we’ve embedded Russian language fluency and on-ground presence into our sales model. Our Saint Petersburg-based Architect liaison team (15+ staff) ensures seamless communication with clients across all project phases—from initial concept to regulatory approvals.</w:t>
      </w:r>
    </w:p>
    <w:bookmarkEnd w:id="22"/>
    <w:bookmarkStart w:id="23" w:name="Xc6af395daa188b4e5eae55ee88ca402ff45a4db"/>
    <w:p>
      <w:pPr>
        <w:pStyle w:val="Heading2"/>
      </w:pPr>
      <w:r>
        <w:t xml:space="preserve">IV. Strategic Sales Initiatives: Building the Future in Russia</w:t>
      </w:r>
    </w:p>
    <w:p>
      <w:pPr>
        <w:pStyle w:val="FirstParagraph"/>
      </w:pPr>
      <w:r>
        <w:t xml:space="preserve">To sustain growth, our sales strategy now centers on three pillars specific to Saint Petersburg:</w:t>
      </w:r>
    </w:p>
    <w:p>
      <w:pPr>
        <w:numPr>
          <w:ilvl w:val="0"/>
          <w:numId w:val="1003"/>
        </w:numPr>
        <w:pStyle w:val="Compact"/>
      </w:pPr>
      <w:r>
        <w:rPr>
          <w:bCs/>
          <w:b/>
        </w:rPr>
        <w:t xml:space="preserve">Hyper-Local Partnership Development:</w:t>
      </w:r>
      <w:r>
        <w:t xml:space="preserve"> </w:t>
      </w:r>
      <w:r>
        <w:t xml:space="preserve">We’ve formed alliances with key Russian firms (e.g., St. Petersburg-based construction leader "Kontsern SPM") to co-deliver projects, addressing local market preferences while expanding our reach. This approach secured 3 of the 12 Q3 wins.</w:t>
      </w:r>
    </w:p>
    <w:p>
      <w:pPr>
        <w:numPr>
          <w:ilvl w:val="0"/>
          <w:numId w:val="1003"/>
        </w:numPr>
        <w:pStyle w:val="Compact"/>
      </w:pPr>
      <w:r>
        <w:rPr>
          <w:bCs/>
          <w:b/>
        </w:rPr>
        <w:t xml:space="preserve">Sustainability as a Sales Driver:</w:t>
      </w:r>
      <w:r>
        <w:t xml:space="preserve"> </w:t>
      </w:r>
      <w:r>
        <w:t xml:space="preserve">With Saint Petersburg prioritizing green infrastructure under Russia’s new environmental policies, our Architect team integrated LEED-certified designs into all proposals. This focus attracted clients like "Petersburg Eco-Development," which selected us for a $5.1M eco-residential project after benchmarking sustainability metrics.</w:t>
      </w:r>
    </w:p>
    <w:p>
      <w:pPr>
        <w:numPr>
          <w:ilvl w:val="0"/>
          <w:numId w:val="1003"/>
        </w:numPr>
        <w:pStyle w:val="Compact"/>
      </w:pPr>
      <w:r>
        <w:rPr>
          <w:bCs/>
          <w:b/>
        </w:rPr>
        <w:t xml:space="preserve">Government Engagement:</w:t>
      </w:r>
      <w:r>
        <w:t xml:space="preserve"> </w:t>
      </w:r>
      <w:r>
        <w:t xml:space="preserve">We’ve established direct channels with Saint Petersburg’s Department of Architecture, resulting in two government-backed feasibility studies (totaling $3.8M) that position us as an indispensable Architect resource for public-sector projects.</w:t>
      </w:r>
    </w:p>
    <w:bookmarkEnd w:id="23"/>
    <w:bookmarkStart w:id="24" w:name="X1b645a7b0bad3fdcbb66bb2bdaf61109d084f19"/>
    <w:p>
      <w:pPr>
        <w:pStyle w:val="Heading2"/>
      </w:pPr>
      <w:r>
        <w:t xml:space="preserve">V. Challenges &amp; Adaptive Sales Solutions in Russia Saint Petersburg</w:t>
      </w:r>
    </w:p>
    <w:p>
      <w:pPr>
        <w:pStyle w:val="FirstParagraph"/>
      </w:pPr>
      <w:r>
        <w:t xml:space="preserve">Operating in the Russian market presents unique complexities, but our sales team has developed resilient strategies:</w:t>
      </w:r>
    </w:p>
    <w:p>
      <w:pPr>
        <w:numPr>
          <w:ilvl w:val="0"/>
          <w:numId w:val="1004"/>
        </w:numPr>
        <w:pStyle w:val="Compact"/>
      </w:pPr>
      <w:r>
        <w:rPr>
          <w:bCs/>
          <w:b/>
        </w:rPr>
        <w:t xml:space="preserve">Regulatory Navigation:</w:t>
      </w:r>
      <w:r>
        <w:t xml:space="preserve"> </w:t>
      </w:r>
      <w:r>
        <w:t xml:space="preserve">Russia’s complex approval processes for construction were a hurdle early on. We addressed this by hiring local regulatory consultants and embedding them into our sales workflows—reducing project timeline risks by 38%.</w:t>
      </w:r>
    </w:p>
    <w:p>
      <w:pPr>
        <w:numPr>
          <w:ilvl w:val="0"/>
          <w:numId w:val="1004"/>
        </w:numPr>
        <w:pStyle w:val="Compact"/>
      </w:pPr>
      <w:r>
        <w:rPr>
          <w:bCs/>
          <w:b/>
        </w:rPr>
        <w:t xml:space="preserve">Economic Volatility:</w:t>
      </w:r>
      <w:r>
        <w:t xml:space="preserve"> </w:t>
      </w:r>
      <w:r>
        <w:t xml:space="preserve">Geopolitical pressures have tightened budgets in some sectors. Our Architect-led value-based selling now emphasizes ROI through long-term cost savings (e.g., energy-efficient designs that cut operational costs by 25-40%).</w:t>
      </w:r>
    </w:p>
    <w:p>
      <w:pPr>
        <w:numPr>
          <w:ilvl w:val="0"/>
          <w:numId w:val="1004"/>
        </w:numPr>
        <w:pStyle w:val="Compact"/>
      </w:pPr>
      <w:r>
        <w:rPr>
          <w:bCs/>
          <w:b/>
        </w:rPr>
        <w:t xml:space="preserve">Cultural Nuances:</w:t>
      </w:r>
      <w:r>
        <w:t xml:space="preserve"> </w:t>
      </w:r>
      <w:r>
        <w:t xml:space="preserve">Saint Petersburg’s business culture prioritizes relationship-building over transactional deals. Our sales staff conducts quarterly "cultural immersion" sessions, including visits to local landmarks like the Hermitage Museum to deepen client trust.</w:t>
      </w:r>
    </w:p>
    <w:bookmarkEnd w:id="24"/>
    <w:bookmarkStart w:id="25" w:name="X60af2714f1051ce69b1bed0ce3bb8d06be00554"/>
    <w:p>
      <w:pPr>
        <w:pStyle w:val="Heading2"/>
      </w:pPr>
      <w:r>
        <w:t xml:space="preserve">VI. Outlook: Future Sales Trajectory in Russia Saint Petersburg</w:t>
      </w:r>
    </w:p>
    <w:p>
      <w:pPr>
        <w:pStyle w:val="FirstParagraph"/>
      </w:pPr>
      <w:r>
        <w:t xml:space="preserve">Looking ahead, we project a 45% increase in architectural sales revenue from Russia Saint Petersburg by Q1 2024. This will be fueled by:</w:t>
      </w:r>
    </w:p>
    <w:p>
      <w:pPr>
        <w:numPr>
          <w:ilvl w:val="0"/>
          <w:numId w:val="1005"/>
        </w:numPr>
        <w:pStyle w:val="Compact"/>
      </w:pPr>
      <w:r>
        <w:rPr>
          <w:bCs/>
          <w:b/>
        </w:rPr>
        <w:t xml:space="preserve">Expansion into Emerging Districts:</w:t>
      </w:r>
      <w:r>
        <w:t xml:space="preserve"> </w:t>
      </w:r>
      <w:r>
        <w:t xml:space="preserve">Targeting the rapidly developing "Kronstadt Peninsula" zone for mixed-use developments, with a $15M pipeline in negotiations.</w:t>
      </w:r>
    </w:p>
    <w:p>
      <w:pPr>
        <w:numPr>
          <w:ilvl w:val="0"/>
          <w:numId w:val="1005"/>
        </w:numPr>
        <w:pStyle w:val="Compact"/>
      </w:pPr>
      <w:r>
        <w:rPr>
          <w:bCs/>
          <w:b/>
        </w:rPr>
        <w:t xml:space="preserve">Digital Sales Enablement:</w:t>
      </w:r>
      <w:r>
        <w:t xml:space="preserve"> </w:t>
      </w:r>
      <w:r>
        <w:t xml:space="preserve">Launching a localized virtual platform (in Russian) to showcase 3D architectural renderings of Saint Petersburg projects, accelerating client decision-making.</w:t>
      </w:r>
    </w:p>
    <w:p>
      <w:pPr>
        <w:numPr>
          <w:ilvl w:val="0"/>
          <w:numId w:val="1005"/>
        </w:numPr>
        <w:pStyle w:val="Compact"/>
      </w:pPr>
      <w:r>
        <w:rPr>
          <w:bCs/>
          <w:b/>
        </w:rPr>
        <w:t xml:space="preserve">Policy Alignment:</w:t>
      </w:r>
      <w:r>
        <w:t xml:space="preserve"> </w:t>
      </w:r>
      <w:r>
        <w:t xml:space="preserve">Capitalizing on Russia’s new "Urban Renewal Act," which allocates $12B for city center revitalization—positioning us as the Architect partner of choice for federal-state collaborations.</w:t>
      </w:r>
    </w:p>
    <w:bookmarkEnd w:id="25"/>
    <w:bookmarkStart w:id="26" w:name="X43c82e0929492478fabfcdb41a3e74bc04e317e"/>
    <w:p>
      <w:pPr>
        <w:pStyle w:val="Heading2"/>
      </w:pPr>
      <w:r>
        <w:t xml:space="preserve">VII. Conclusion: The Architect’s Role in Shaping Saint Petersburg</w:t>
      </w:r>
    </w:p>
    <w:p>
      <w:pPr>
        <w:pStyle w:val="FirstParagraph"/>
      </w:pPr>
      <w:r>
        <w:t xml:space="preserve">This Sales Report affirms that our success in Russia Saint Petersburg is not accidental—it is the result of deliberate investment in understanding the city’s architectural soul, its economic currents, and its cultural heartbeat. As an Architect firm operating within Russia’s most historically significant metropolis, we’ve transformed sales from transactional exchanges into lasting partnerships that honor Saint Petersburg’s past while building its future. With our team deeply embedded in the city—from St. Petersburg to Petrograd—every project we deliver reinforces our commitment to being the trusted Architect partner for Russia’s urban evolution.</w:t>
      </w:r>
    </w:p>
    <w:p>
      <w:pPr>
        <w:pStyle w:val="BodyText"/>
      </w:pPr>
      <w:r>
        <w:rPr>
          <w:bCs/>
          <w:b/>
        </w:rPr>
        <w:t xml:space="preserve">Prepared by:</w:t>
      </w:r>
      <w:r>
        <w:t xml:space="preserve"> </w:t>
      </w:r>
      <w:r>
        <w:t xml:space="preserve">Global Sales Strategy Unit, International Architecture Division</w:t>
      </w:r>
      <w:r>
        <w:br/>
      </w:r>
      <w:r>
        <w:rPr>
          <w:bCs/>
          <w:b/>
        </w:rPr>
        <w:t xml:space="preserve">Contact:</w:t>
      </w:r>
      <w:r>
        <w:t xml:space="preserve"> </w:t>
      </w:r>
      <w:r>
        <w:t xml:space="preserve">sales@architectglobal.com | +7 (812) 555-0199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Russia Saint Petersburg</dc:title>
  <dc:creator/>
  <cp:keywords/>
  <dcterms:created xsi:type="dcterms:W3CDTF">2026-07-23T22:56:00Z</dcterms:created>
  <dcterms:modified xsi:type="dcterms:W3CDTF">2026-07-23T22:56:00Z</dcterms:modified>
</cp:coreProperties>
</file>

<file path=docProps/custom.xml><?xml version="1.0" encoding="utf-8"?>
<Properties xmlns="http://schemas.openxmlformats.org/officeDocument/2006/custom-properties" xmlns:vt="http://schemas.openxmlformats.org/officeDocument/2006/docPropsVTypes"/>
</file>