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Firm</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31" w:name="X7d4afbef3012fbcc985d90d196e9b9ceafefffe"/>
    <w:p>
      <w:pPr>
        <w:pStyle w:val="Heading1"/>
      </w:pPr>
      <w:r>
        <w:t xml:space="preserve">Sales Report: Architect Firm Performance Analysis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Publisher:</w:t>
      </w:r>
      <w:r>
        <w:t xml:space="preserve"> </w:t>
      </w:r>
      <w:r>
        <w:t xml:space="preserve">Apex Architects Pte. Ltd.</w:t>
      </w:r>
    </w:p>
    <w:bookmarkStart w:id="20" w:name="i.-executive-summary"/>
    <w:p>
      <w:pPr>
        <w:pStyle w:val="Heading2"/>
      </w:pPr>
      <w:r>
        <w:t xml:space="preserve">I. Executive Summary</w:t>
      </w:r>
    </w:p>
    <w:p>
      <w:pPr>
        <w:pStyle w:val="FirstParagraph"/>
      </w:pPr>
      <w:r>
        <w:t xml:space="preserve">This comprehensive Sales Report details the performance of Apex Architects across all service lines within Singapore Singapore during Q3 2023. As a premier architectural practice with over 15 years of expertise in the Southeast Asian market, our firm has consistently delivered innovative design solutions while navigating Singapore's complex urban landscape. The quarter demonstrated robust growth, with a 18% year-over-year increase in signed project contracts and an impressive 92% client retention rate across all sectors. This report underscores how strategic market positioning and deep local knowledge have cemented our leadership in the Singapore Singapore architectural services ecosystem.</w:t>
      </w:r>
    </w:p>
    <w:bookmarkEnd w:id="20"/>
    <w:bookmarkStart w:id="21" w:name="X0a07599b0bedf76c30d941cd05ba9b54ea5f262"/>
    <w:p>
      <w:pPr>
        <w:pStyle w:val="Heading2"/>
      </w:pPr>
      <w:r>
        <w:t xml:space="preserve">II. Market Context: Architectural Landscape in Singapore Singapore</w:t>
      </w:r>
    </w:p>
    <w:p>
      <w:pPr>
        <w:pStyle w:val="FirstParagraph"/>
      </w:pPr>
      <w:r>
        <w:t xml:space="preserve">Singapore Singapore remains a magnet for high-value architectural projects driven by its status as a global financial hub, aggressive urban renewal initiatives (like the Central Region Redevelopment Plan), and stringent sustainability mandates under the Green Mark Scheme. As an Architect firm deeply embedded in this ecosystem, we've observed three critical market shifts: First, heightened demand for mixed-use developments integrating residential, commercial and green spaces. Second, accelerated adoption of BIM (Building Information Modeling) across all government projects. Third, rising client expectations for carbon-neutral designs following Singapore's 2050 Net Zero target. Our Sales Report confirms that firms leveraging these trends—particularly those with certified sustainability architects—dominate the market share in Singapore Singapore.</w:t>
      </w:r>
    </w:p>
    <w:bookmarkEnd w:id="21"/>
    <w:bookmarkStart w:id="25" w:name="iii.-q3-2023-performance-metrics"/>
    <w:p>
      <w:pPr>
        <w:pStyle w:val="Heading2"/>
      </w:pPr>
      <w:r>
        <w:t xml:space="preserve">III. Q3 2023 Performance Metrics</w:t>
      </w:r>
    </w:p>
    <w:bookmarkStart w:id="22" w:name="a.-contract-volume-revenue"/>
    <w:p>
      <w:pPr>
        <w:pStyle w:val="Heading3"/>
      </w:pPr>
      <w:r>
        <w:t xml:space="preserve">A. Contract Volume &amp; Revenue</w:t>
      </w:r>
    </w:p>
    <w:p>
      <w:pPr>
        <w:pStyle w:val="FirstParagraph"/>
      </w:pPr>
      <w:r>
        <w:t xml:space="preserve">We secured 14 new contracts valued at SGD $48.6 million, exceeding quarterly targets by 15%. Key projects include:</w:t>
      </w:r>
    </w:p>
    <w:p>
      <w:pPr>
        <w:numPr>
          <w:ilvl w:val="0"/>
          <w:numId w:val="1001"/>
        </w:numPr>
        <w:pStyle w:val="Compact"/>
      </w:pPr>
      <w:r>
        <w:rPr>
          <w:bCs/>
          <w:b/>
        </w:rPr>
        <w:t xml:space="preserve">Marina Bay Central Tower (SGD $12.3M):</w:t>
      </w:r>
      <w:r>
        <w:t xml:space="preserve"> </w:t>
      </w:r>
      <w:r>
        <w:t xml:space="preserve">High-rise commercial development for UOB, featuring Singapore's first full-scale vertical garden facade.</w:t>
      </w:r>
    </w:p>
    <w:p>
      <w:pPr>
        <w:numPr>
          <w:ilvl w:val="0"/>
          <w:numId w:val="1001"/>
        </w:numPr>
        <w:pStyle w:val="Compact"/>
      </w:pPr>
      <w:r>
        <w:rPr>
          <w:bCs/>
          <w:b/>
        </w:rPr>
        <w:t xml:space="preserve">Singapore Singapore Eco-Residential Hub (SGD $9.8M):</w:t>
      </w:r>
      <w:r>
        <w:t xml:space="preserve"> </w:t>
      </w:r>
      <w:r>
        <w:t xml:space="preserve">Award-winning 5-star sustainable housing project in Punggol Digital District.</w:t>
      </w:r>
    </w:p>
    <w:p>
      <w:pPr>
        <w:numPr>
          <w:ilvl w:val="0"/>
          <w:numId w:val="1001"/>
        </w:numPr>
        <w:pStyle w:val="Compact"/>
      </w:pPr>
      <w:r>
        <w:rPr>
          <w:bCs/>
          <w:b/>
        </w:rPr>
        <w:t xml:space="preserve">National Gallery Expansion (SGD $7.2M):</w:t>
      </w:r>
      <w:r>
        <w:t xml:space="preserve"> </w:t>
      </w:r>
      <w:r>
        <w:t xml:space="preserve">Adaptive reuse of historic building with climate-controlled art storage facilities.</w:t>
      </w:r>
    </w:p>
    <w:p>
      <w:pPr>
        <w:pStyle w:val="FirstParagraph"/>
      </w:pPr>
      <w:r>
        <w:t xml:space="preserve">Revenue growth was particularly strong in our Sustainability Practice Group (+32% YoY), reflecting Singapore Singapore's mandatory Green Mark certification for all new developments above 10,000 sqm.</w:t>
      </w:r>
    </w:p>
    <w:bookmarkEnd w:id="22"/>
    <w:bookmarkStart w:id="23" w:name="b.-client-acquisition-retention"/>
    <w:p>
      <w:pPr>
        <w:pStyle w:val="Heading3"/>
      </w:pPr>
      <w:r>
        <w:t xml:space="preserve">B. Client Acquisition &amp; Retention</w:t>
      </w:r>
    </w:p>
    <w:p>
      <w:pPr>
        <w:pStyle w:val="FirstParagraph"/>
      </w:pPr>
      <w:r>
        <w:t xml:space="preserve">Our Sales Report reveals a 27% increase in leads from government agencies (Urban Redevelopment Authority, Housing &amp; Development Board) and a 41% rise in repeat clients from commercial developers. Notable wins include:</w:t>
      </w:r>
    </w:p>
    <w:p>
      <w:pPr>
        <w:numPr>
          <w:ilvl w:val="0"/>
          <w:numId w:val="1002"/>
        </w:numPr>
        <w:pStyle w:val="Compact"/>
      </w:pPr>
      <w:r>
        <w:t xml:space="preserve">Re-engagement with CapitaLand for Phase III of their CBD masterplan</w:t>
      </w:r>
    </w:p>
    <w:p>
      <w:pPr>
        <w:numPr>
          <w:ilvl w:val="0"/>
          <w:numId w:val="1002"/>
        </w:numPr>
        <w:pStyle w:val="Compact"/>
      </w:pPr>
      <w:r>
        <w:t xml:space="preserve">New partnership with Singapore Singapore's Ministry of Sustainability to develop low-carbon community centers</w:t>
      </w:r>
    </w:p>
    <w:p>
      <w:pPr>
        <w:pStyle w:val="FirstParagraph"/>
      </w:pPr>
      <w:r>
        <w:t xml:space="preserve">Client satisfaction scores averaged 4.8/5.0, driven by our Architects' ability to navigate Singapore's intricate planning regulations and deliver projects 12% under budget through value engineering.</w:t>
      </w:r>
    </w:p>
    <w:bookmarkEnd w:id="23"/>
    <w:bookmarkStart w:id="24" w:name="c.-geographic-sector-distribution"/>
    <w:p>
      <w:pPr>
        <w:pStyle w:val="Heading3"/>
      </w:pPr>
      <w:r>
        <w:t xml:space="preserve">C. Geographic &amp; Sector Distribution</w:t>
      </w:r>
    </w:p>
    <w:p>
      <w:pPr>
        <w:pStyle w:val="FirstParagraph"/>
      </w:pPr>
      <w:r>
        <w:t xml:space="preserve">78% of contracts originated from Singapore Singapore's core districts (Central, East Coast), with emerging opportunities in the Jurong Lake District and Tengah New Town. Sector breakdown:</w:t>
      </w:r>
    </w:p>
    <w:p>
      <w:pPr>
        <w:numPr>
          <w:ilvl w:val="0"/>
          <w:numId w:val="1003"/>
        </w:numPr>
        <w:pStyle w:val="Compact"/>
      </w:pPr>
      <w:r>
        <w:t xml:space="preserve">Commercial: 45% (Office towers, retail malls)</w:t>
      </w:r>
    </w:p>
    <w:p>
      <w:pPr>
        <w:numPr>
          <w:ilvl w:val="0"/>
          <w:numId w:val="1003"/>
        </w:numPr>
        <w:pStyle w:val="Compact"/>
      </w:pPr>
      <w:r>
        <w:t xml:space="preserve">Residential: 32% (Affordable housing, luxury condominiums)</w:t>
      </w:r>
    </w:p>
    <w:p>
      <w:pPr>
        <w:numPr>
          <w:ilvl w:val="0"/>
          <w:numId w:val="1003"/>
        </w:numPr>
        <w:pStyle w:val="Compact"/>
      </w:pPr>
      <w:r>
        <w:t xml:space="preserve">Public Infrastructure: 19% (Museums, community hubs, transport links)</w:t>
      </w:r>
    </w:p>
    <w:p>
      <w:pPr>
        <w:pStyle w:val="FirstParagraph"/>
      </w:pPr>
      <w:r>
        <w:t xml:space="preserve">This distribution aligns perfectly with Singapore Singapore's masterplan priorities and positions us to capitalize on the government's SGD $50 billion public sector infrastructure pipeline.</w:t>
      </w:r>
    </w:p>
    <w:bookmarkEnd w:id="24"/>
    <w:bookmarkEnd w:id="25"/>
    <w:bookmarkStart w:id="26" w:name="X4646166f17f97fc0e509055971a94017b225c81"/>
    <w:p>
      <w:pPr>
        <w:pStyle w:val="Heading2"/>
      </w:pPr>
      <w:r>
        <w:t xml:space="preserve">IV. Competitive Analysis: Architect Differentiation in Singapore Singapore</w:t>
      </w:r>
    </w:p>
    <w:p>
      <w:pPr>
        <w:pStyle w:val="FirstParagraph"/>
      </w:pPr>
      <w:r>
        <w:t xml:space="preserve">In our Sales Report, we highlight how Apex Architects maintains competitive advantage through three pillars unique to the Singapore Singapore market:</w:t>
      </w:r>
    </w:p>
    <w:p>
      <w:pPr>
        <w:numPr>
          <w:ilvl w:val="0"/>
          <w:numId w:val="1004"/>
        </w:numPr>
        <w:pStyle w:val="Compact"/>
      </w:pPr>
      <w:r>
        <w:rPr>
          <w:bCs/>
          <w:b/>
        </w:rPr>
        <w:t xml:space="preserve">Regulatory Mastery:</w:t>
      </w:r>
      <w:r>
        <w:t xml:space="preserve"> </w:t>
      </w:r>
      <w:r>
        <w:t xml:space="preserve">Our team includes 7 architects with 10+ years of experience navigating URA guidelines and BCA Green Mark requirements—critical in a jurisdiction where compliance delays average 23 weeks industry-wide.</w:t>
      </w:r>
    </w:p>
    <w:p>
      <w:pPr>
        <w:numPr>
          <w:ilvl w:val="0"/>
          <w:numId w:val="1004"/>
        </w:numPr>
        <w:pStyle w:val="Compact"/>
      </w:pPr>
      <w:r>
        <w:rPr>
          <w:bCs/>
          <w:b/>
        </w:rPr>
        <w:t xml:space="preserve">Technology Integration:</w:t>
      </w:r>
      <w:r>
        <w:t xml:space="preserve"> </w:t>
      </w:r>
      <w:r>
        <w:t xml:space="preserve">We pioneered the use of Singapore Singapore's BIM Framework for all projects, reducing design errors by 40% and accelerating approvals through digital submissions to the Building and Construction Authority (BCA).</w:t>
      </w:r>
    </w:p>
    <w:p>
      <w:pPr>
        <w:numPr>
          <w:ilvl w:val="0"/>
          <w:numId w:val="1004"/>
        </w:numPr>
        <w:pStyle w:val="Compact"/>
      </w:pPr>
      <w:r>
        <w:rPr>
          <w:bCs/>
          <w:b/>
        </w:rPr>
        <w:t xml:space="preserve">Sustainability Leadership:</w:t>
      </w:r>
      <w:r>
        <w:t xml:space="preserve"> </w:t>
      </w:r>
      <w:r>
        <w:t xml:space="preserve">As a certified Green Mark Platinum Architect firm, we deliver carbon-negative designs that meet Singapore's upcoming Energy Efficiency Standards—outperforming competitors on client RFP scoring.</w:t>
      </w:r>
    </w:p>
    <w:p>
      <w:pPr>
        <w:pStyle w:val="FirstParagraph"/>
      </w:pPr>
      <w:r>
        <w:t xml:space="preserve">This specialization has enabled us to win 63% of all sustainability-focused bids in Singapore Singapore this year versus the industry average of 38%.</w:t>
      </w:r>
    </w:p>
    <w:bookmarkEnd w:id="26"/>
    <w:bookmarkStart w:id="27" w:name="v.-challenges-strategic-response"/>
    <w:p>
      <w:pPr>
        <w:pStyle w:val="Heading2"/>
      </w:pPr>
      <w:r>
        <w:t xml:space="preserve">V. Challenges &amp; Strategic Response</w:t>
      </w:r>
    </w:p>
    <w:p>
      <w:pPr>
        <w:pStyle w:val="FirstParagraph"/>
      </w:pPr>
      <w:r>
        <w:t xml:space="preserve">Our Sales Report identifies two primary challenges demanding immediate action:</w:t>
      </w:r>
    </w:p>
    <w:p>
      <w:pPr>
        <w:numPr>
          <w:ilvl w:val="0"/>
          <w:numId w:val="1005"/>
        </w:numPr>
        <w:pStyle w:val="Compact"/>
      </w:pPr>
      <w:r>
        <w:rPr>
          <w:bCs/>
          <w:b/>
        </w:rPr>
        <w:t xml:space="preserve">Talent Shortage:</w:t>
      </w:r>
      <w:r>
        <w:t xml:space="preserve"> </w:t>
      </w:r>
      <w:r>
        <w:t xml:space="preserve">Competition for certified Architects in Singapore Singapore has intensified, with the BCA reporting a 19% annual rise in demand. *Response:* Launched our "Singapore Singapore Architect Development Program" with NUS School of Design and Environment, securing 12 new graduates this quarter.</w:t>
      </w:r>
    </w:p>
    <w:p>
      <w:pPr>
        <w:numPr>
          <w:ilvl w:val="0"/>
          <w:numId w:val="1005"/>
        </w:numPr>
        <w:pStyle w:val="Compact"/>
      </w:pPr>
      <w:r>
        <w:rPr>
          <w:bCs/>
          <w:b/>
        </w:rPr>
        <w:t xml:space="preserve">Material Cost Volatility:</w:t>
      </w:r>
      <w:r>
        <w:t xml:space="preserve"> </w:t>
      </w:r>
      <w:r>
        <w:t xml:space="preserve">Global supply chain issues increased construction costs by 18%. *Response:* Negotiated fixed-price contracts for key materials through partnerships with Singapore Singapore's National Additive Manufacturing Cluster.</w:t>
      </w:r>
    </w:p>
    <w:bookmarkEnd w:id="27"/>
    <w:bookmarkStart w:id="28" w:name="vi.-q4-2023-strategic-outlook"/>
    <w:p>
      <w:pPr>
        <w:pStyle w:val="Heading2"/>
      </w:pPr>
      <w:r>
        <w:t xml:space="preserve">VI. Q4 2023 Strategic Outlook</w:t>
      </w:r>
    </w:p>
    <w:p>
      <w:pPr>
        <w:pStyle w:val="FirstParagraph"/>
      </w:pPr>
      <w:r>
        <w:t xml:space="preserve">Based on current market momentum and our Sales Report analytics, we project:</w:t>
      </w:r>
    </w:p>
    <w:p>
      <w:pPr>
        <w:numPr>
          <w:ilvl w:val="0"/>
          <w:numId w:val="1006"/>
        </w:numPr>
        <w:pStyle w:val="Compact"/>
      </w:pPr>
      <w:r>
        <w:rPr>
          <w:bCs/>
          <w:b/>
        </w:rPr>
        <w:t xml:space="preserve">Revenue Growth:</w:t>
      </w:r>
      <w:r>
        <w:t xml:space="preserve"> </w:t>
      </w:r>
      <w:r>
        <w:t xml:space="preserve">15-20% increase in Q4 (driven by Singapore Singapore's upcoming $7.8B Housing &amp; Development Board projects)</w:t>
      </w:r>
    </w:p>
    <w:p>
      <w:pPr>
        <w:numPr>
          <w:ilvl w:val="0"/>
          <w:numId w:val="1006"/>
        </w:numPr>
        <w:pStyle w:val="Compact"/>
      </w:pPr>
      <w:r>
        <w:rPr>
          <w:bCs/>
          <w:b/>
        </w:rPr>
        <w:t xml:space="preserve">New Market Entry:</w:t>
      </w:r>
      <w:r>
        <w:t xml:space="preserve"> </w:t>
      </w:r>
      <w:r>
        <w:t xml:space="preserve">Expansion into Singapore Singapore's emerging Smart City infrastructure sector (5G-ready buildings, IoT-enabled public spaces)</w:t>
      </w:r>
    </w:p>
    <w:p>
      <w:pPr>
        <w:numPr>
          <w:ilvl w:val="0"/>
          <w:numId w:val="1006"/>
        </w:numPr>
        <w:pStyle w:val="Compact"/>
      </w:pPr>
      <w:r>
        <w:rPr>
          <w:bCs/>
          <w:b/>
        </w:rPr>
        <w:t xml:space="preserve">Client Targeting:</w:t>
      </w:r>
      <w:r>
        <w:t xml:space="preserve"> </w:t>
      </w:r>
      <w:r>
        <w:t xml:space="preserve">Prioritizing greenfield developments in the Western Waterfront and Southern Islands as part of Singapore Singapore's national urban planning vision</w:t>
      </w:r>
    </w:p>
    <w:bookmarkEnd w:id="28"/>
    <w:bookmarkStart w:id="30" w:name="X97242c5f35b5c89fbb735ae76ec34e1c92c9139"/>
    <w:p>
      <w:pPr>
        <w:pStyle w:val="Heading2"/>
      </w:pPr>
      <w:r>
        <w:t xml:space="preserve">VII. Conclusion: Architect Excellence in Singapore Singapore</w:t>
      </w:r>
    </w:p>
    <w:p>
      <w:pPr>
        <w:pStyle w:val="FirstParagraph"/>
      </w:pPr>
      <w:r>
        <w:t xml:space="preserve">This Sales Report unequivocally demonstrates how Apex Architects has become synonymous with architectural excellence within the dynamic ecosystem of Singapore Singapore. By relentlessly focusing on the unique demands of this city-state—from regulatory complexity to sustainability imperatives—we've transformed our firm into a trusted advisor for government entities and private developers alike. Our Architects don't just design buildings; they engineer solutions that align with Singapore's long-term vision of livable, sustainable urbanism. As we enter 2024, we commit to further elevating our practice through deeper integration with Singapore Singapore's Smart Nation initiatives and expanding our portfolio of projects contributing to the nation's net-zero journey.</w:t>
      </w:r>
    </w:p>
    <w:p>
      <w:pPr>
        <w:pStyle w:val="BodyText"/>
      </w:pPr>
      <w:r>
        <w:t xml:space="preserve">With the support of our clients across Singapore Singapore, Apex Architects remains poised not only to meet but exceed market expectations—proving that in the competitive world of architecture, excellence is measured not just in awards won, but in meaningful contributions to how people live, work and thrive within one of the world's most dynamic cities.</w:t>
      </w:r>
    </w:p>
    <w:p>
      <w:pPr>
        <w:pStyle w:val="BodyText"/>
      </w:pPr>
      <w:r>
        <w:rPr>
          <w:bCs/>
          <w:b/>
        </w:rPr>
        <w:t xml:space="preserve">Prepared By:</w:t>
      </w:r>
      <w:r>
        <w:t xml:space="preserve"> </w:t>
      </w:r>
      <w:r>
        <w:t xml:space="preserve">Eleanor Tan</w:t>
      </w:r>
      <w:r>
        <w:br/>
      </w:r>
      <w:r>
        <w:t xml:space="preserve">Director of Sales &amp; Business Development</w:t>
      </w:r>
      <w:r>
        <w:br/>
      </w:r>
      <w:r>
        <w:t xml:space="preserve">Apex Architects Pte. Ltd.</w:t>
      </w:r>
      <w:r>
        <w:br/>
      </w:r>
      <w:r>
        <w:t xml:space="preserve">Singapore Singapore</w:t>
      </w:r>
    </w:p>
    <w:bookmarkStart w:id="29" w:name="appendix-key-performance-indicators"/>
    <w:p>
      <w:pPr>
        <w:pStyle w:val="Heading3"/>
      </w:pPr>
      <w:r>
        <w:t xml:space="preserve">Appendix: Key Performance Indicators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Secured (SGD)</w:t>
      </w:r>
    </w:p>
    <w:p>
      <w:pPr>
        <w:pStyle w:val="BodyText"/>
      </w:pPr>
      <w:r>
        <w:t xml:space="preserve">$48.6M</w:t>
      </w:r>
    </w:p>
    <w:p>
      <w:pPr>
        <w:pStyle w:val="BodyText"/>
      </w:pPr>
      <w:r>
        <w:t xml:space="preserve">$41.3M</w:t>
      </w:r>
    </w:p>
    <w:p>
      <w:pPr>
        <w:pStyle w:val="BodyText"/>
      </w:pPr>
      <w:r>
        <w:t xml:space="preserve">+17.7%</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+7pp</w:t>
      </w:r>
    </w:p>
    <w:p>
      <w:pPr>
        <w:pStyle w:val="BodyText"/>
      </w:pPr>
      <w:r>
        <w:t xml:space="preserve">Sustainability Projects (%)</w:t>
      </w:r>
    </w:p>
    <w:p>
      <w:pPr>
        <w:pStyle w:val="BodyText"/>
      </w:pPr>
      <w:r>
        <w:t xml:space="preserve">68%</w:t>
      </w:r>
      <w:r>
        <w:br/>
      </w:r>
    </w:p>
    <w:p>
      <w:pPr>
        <w:pStyle w:val="BodyText"/>
      </w:pPr>
      <w:r>
        <w:t xml:space="preserve">Source: Apex Architects Internal Sales Database (Singapore Singapore)</w:t>
      </w:r>
    </w:p>
    <w:p>
      <w:pPr>
        <w:pStyle w:val="BodyText"/>
      </w:pPr>
      <w:r>
        <w:t xml:space="preserve">Note: All figures based on projects completed or signed within Singapore Singapore jurisdiction. "Singapore Singapore" refers to the sovereign nation-state and its urban planning context as per official government documentation.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Firm Performance in Singapore Singapore</dc:title>
  <dc:creator/>
  <dc:language>en</dc:language>
  <cp:keywords/>
  <dcterms:created xsi:type="dcterms:W3CDTF">2026-07-21T05:03:34Z</dcterms:created>
  <dcterms:modified xsi:type="dcterms:W3CDTF">2026-07-21T05:03:34Z</dcterms:modified>
</cp:coreProperties>
</file>

<file path=docProps/custom.xml><?xml version="1.0" encoding="utf-8"?>
<Properties xmlns="http://schemas.openxmlformats.org/officeDocument/2006/custom-properties" xmlns:vt="http://schemas.openxmlformats.org/officeDocument/2006/docPropsVTypes"/>
</file>