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w:t>
      </w:r>
      <w:r>
        <w:t xml:space="preserve"> </w:t>
      </w:r>
      <w:r>
        <w:t xml:space="preserve">Barcelona</w:t>
      </w:r>
      <w:r>
        <w:t xml:space="preserve"> </w:t>
      </w:r>
      <w:r>
        <w:t xml:space="preserve">Market</w:t>
      </w:r>
    </w:p>
    <w:bookmarkStart w:id="27" w:name="X4ee35eec8c71bc2874f003a456c04eaf19cefed"/>
    <w:p>
      <w:pPr>
        <w:pStyle w:val="Heading1"/>
      </w:pPr>
      <w:r>
        <w:t xml:space="preserve">Q3 2023 Sales Report: Architectural Services Performance in Spain Barcelona</w:t>
      </w:r>
    </w:p>
    <w:bookmarkStart w:id="20" w:name="executive-summary"/>
    <w:p>
      <w:pPr>
        <w:pStyle w:val="Heading2"/>
      </w:pPr>
      <w:r>
        <w:t xml:space="preserve">Executive Summary</w:t>
      </w:r>
    </w:p>
    <w:p>
      <w:pPr>
        <w:pStyle w:val="FirstParagraph"/>
      </w:pPr>
      <w:r>
        <w:t xml:space="preserve">This report details the sales performance of our architectural services division within the dynamic market of Spain Barcelona for the third quarter of 2023. As a leading architectural firm deeply embedded in Barcelona's urban landscape, we have strategically positioned ourselves to capitalize on the city's unique blend of historical preservation, sustainable development demands, and burgeoning commercial real estate opportunities. This Sales Report confirms a 17% year-over-year increase in service contracts signed during Q3 (July-September), reflecting strong market confidence in our design expertise tailored specifically for Barcelona's complex urban environment. The success underscores the critical role of specialized architectural services within Spain's most influential cultural and economic hub.</w:t>
      </w:r>
    </w:p>
    <w:bookmarkEnd w:id="20"/>
    <w:bookmarkStart w:id="21" w:name="Xaa0d23f157984641225eee77c66139052f82818"/>
    <w:p>
      <w:pPr>
        <w:pStyle w:val="Heading2"/>
      </w:pPr>
      <w:r>
        <w:t xml:space="preserve">Market Context: Spain Barcelona Architectural Demand</w:t>
      </w:r>
    </w:p>
    <w:p>
      <w:pPr>
        <w:pStyle w:val="FirstParagraph"/>
      </w:pPr>
      <w:r>
        <w:t xml:space="preserve">Barcelona remains a magnet for architectural innovation in Spain, driven by stringent local regulations (Catalan Building Code), high-value residential development in districts like Eixample and Poblenou, and the city's commitment to sustainable urban planning under its "Superblocks" initiative. The Q3 market was characterized by heightened demand for: 1) Adaptive reuse of historic structures (particularly in the Gothic Quarter), 2) High-end residential projects catering to international investors, and 3) Commercial spaces prioritizing biophilic design principles aligned with Spain's Green New Deal. Our firm's deep understanding of Barcelona's specific zoning laws, cultural sensitivities, and material sourcing networks has been pivotal in securing these complex projects. The Spanish government's recent "Vivienda Act" further accelerated demand for architecturally sound, affordable housing solutions across the metropolitan area.</w:t>
      </w:r>
    </w:p>
    <w:bookmarkEnd w:id="21"/>
    <w:bookmarkStart w:id="22" w:name="sales-performance-breakdown-q3-2023"/>
    <w:p>
      <w:pPr>
        <w:pStyle w:val="Heading2"/>
      </w:pPr>
      <w:r>
        <w:t xml:space="preserve">Sales Performance Breakdown (Q3 2023)</w:t>
      </w:r>
    </w:p>
    <w:p>
      <w:pPr>
        <w:pStyle w:val="FirstParagraph"/>
      </w:pPr>
      <w:r>
        <w:t xml:space="preserve">Project Type</w:t>
      </w:r>
    </w:p>
    <w:p>
      <w:pPr>
        <w:pStyle w:val="BodyText"/>
      </w:pPr>
      <w:r>
        <w:t xml:space="preserve">Number of Contracts</w:t>
      </w:r>
    </w:p>
    <w:p>
      <w:pPr>
        <w:pStyle w:val="BodyText"/>
      </w:pPr>
      <w:r>
        <w:t xml:space="preserve">Total Value (€)</w:t>
      </w:r>
    </w:p>
    <w:p>
      <w:pPr>
        <w:pStyle w:val="BodyText"/>
      </w:pPr>
      <w:r>
        <w:t xml:space="preserve">% of Total Sales</w:t>
      </w:r>
    </w:p>
    <w:p>
      <w:pPr>
        <w:pStyle w:val="BodyText"/>
      </w:pPr>
      <w:r>
        <w:t xml:space="preserve">Historic Building Renovation (Barcelona Old City)</w:t>
      </w:r>
    </w:p>
    <w:p>
      <w:pPr>
        <w:pStyle w:val="BodyText"/>
      </w:pPr>
      <w:r>
        <w:t xml:space="preserve">5</w:t>
      </w:r>
    </w:p>
    <w:p>
      <w:pPr>
        <w:pStyle w:val="BodyText"/>
      </w:pPr>
      <w:r>
        <w:t xml:space="preserve">1,245,000</w:t>
      </w:r>
    </w:p>
    <w:p>
      <w:pPr>
        <w:pStyle w:val="BodyText"/>
      </w:pPr>
      <w:r>
        <w:t xml:space="preserve">32%</w:t>
      </w:r>
    </w:p>
    <w:p>
      <w:pPr>
        <w:pStyle w:val="BodyText"/>
      </w:pPr>
      <w:r>
        <w:t xml:space="preserve">Luxury Residential (Poblenou &amp; Sant Martí)</w:t>
      </w:r>
    </w:p>
    <w:p>
      <w:pPr>
        <w:pStyle w:val="BodyText"/>
      </w:pPr>
      <w:r>
        <w:t xml:space="preserve">8</w:t>
      </w:r>
    </w:p>
    <w:p>
      <w:pPr>
        <w:pStyle w:val="BodyText"/>
      </w:pPr>
      <w:r>
        <w:t xml:space="preserve">&lt;</w:t>
      </w:r>
    </w:p>
    <w:p>
      <w:pPr>
        <w:pStyle w:val="BodyText"/>
      </w:pPr>
      <w:r>
        <w:t xml:space="preserve">2,168,000</w:t>
      </w:r>
    </w:p>
    <w:p>
      <w:pPr>
        <w:pStyle w:val="BodyText"/>
      </w:pPr>
      <w:r>
        <w:t xml:space="preserve">56%</w:t>
      </w:r>
    </w:p>
    <w:p>
      <w:pPr>
        <w:pStyle w:val="BodyText"/>
      </w:pPr>
      <w:r>
        <w:t xml:space="preserve">Sustainable Commercial Fit-Outs (Eixample)</w:t>
      </w:r>
    </w:p>
    <w:p>
      <w:pPr>
        <w:pStyle w:val="BodyText"/>
      </w:pPr>
      <w:r>
        <w:t xml:space="preserve">3</w:t>
      </w:r>
    </w:p>
    <w:p>
      <w:pPr>
        <w:pStyle w:val="BodyText"/>
      </w:pPr>
      <w:r>
        <w:t xml:space="preserve">427,000</w:t>
      </w:r>
    </w:p>
    <w:p>
      <w:pPr>
        <w:pStyle w:val="BodyText"/>
      </w:pPr>
      <w:r>
        <w:t xml:space="preserve">12%</w:t>
      </w:r>
    </w:p>
    <w:p>
      <w:pPr>
        <w:pStyle w:val="BodyText"/>
      </w:pPr>
      <w:r>
        <w:t xml:space="preserve">Total</w:t>
      </w:r>
    </w:p>
    <w:p>
      <w:pPr>
        <w:pStyle w:val="BodyText"/>
      </w:pPr>
      <w:r>
        <w:rPr>
          <w:bCs/>
          <w:b/>
        </w:rPr>
        <w:t xml:space="preserve">16 Contracts</w:t>
      </w:r>
    </w:p>
    <w:p>
      <w:pPr>
        <w:pStyle w:val="BodyText"/>
      </w:pPr>
      <w:r>
        <w:rPr>
          <w:bCs/>
          <w:b/>
        </w:rPr>
        <w:t xml:space="preserve">€3,840,000</w:t>
      </w:r>
    </w:p>
    <w:p>
      <w:pPr>
        <w:pStyle w:val="BodyText"/>
      </w:pPr>
      <w:r>
        <w:t xml:space="preserve">The significant 56% contribution from Luxury Residential projects highlights the dominance of Barcelona's high-value real estate market. Key wins include the "Passeig de Gràcia Residences" (a 12-unit luxury apartment building merging modernist restoration with contemporary design) for a German investment consortium and the "Barcelona Sky Gardens" mixed-use development in Sant Martí, valued at €750,000. These projects were secured through targeted networking at Barcelona's annual "Arquitectura en la Ciudad" conference and referrals from established local developers familiar with our firm's adherence to Barcelona's strict facade regulations.</w:t>
      </w:r>
    </w:p>
    <w:bookmarkEnd w:id="22"/>
    <w:bookmarkStart w:id="23" w:name="Xc5028aa58e0c52700e5d5483afb866074d4fbc0"/>
    <w:p>
      <w:pPr>
        <w:pStyle w:val="Heading2"/>
      </w:pPr>
      <w:r>
        <w:t xml:space="preserve">Client Acquisition Strategy: Targeting Spain Barcelona</w:t>
      </w:r>
    </w:p>
    <w:p>
      <w:pPr>
        <w:pStyle w:val="FirstParagraph"/>
      </w:pPr>
      <w:r>
        <w:t xml:space="preserve">Our sales success in Spain Barcelona hinges on hyper-localized client acquisition. We maintain a dedicated team based in the city center, enabling rapid response to municipal planning meetings and site visits across all 10 districts. Key strategies included:</w:t>
      </w:r>
    </w:p>
    <w:p>
      <w:pPr>
        <w:numPr>
          <w:ilvl w:val="0"/>
          <w:numId w:val="1001"/>
        </w:numPr>
        <w:pStyle w:val="Compact"/>
      </w:pPr>
      <w:r>
        <w:rPr>
          <w:bCs/>
          <w:b/>
        </w:rPr>
        <w:t xml:space="preserve">Strategic Partnerships:</w:t>
      </w:r>
      <w:r>
        <w:t xml:space="preserve"> </w:t>
      </w:r>
      <w:r>
        <w:t xml:space="preserve">Formal collaborations with Barcelona-based construction firms (e.g., FCC Construcción, Acciona) and real estate agencies (Sobremunt, Rovira Propiedades), ensuring priority access to pre-approved projects.</w:t>
      </w:r>
    </w:p>
    <w:p>
      <w:pPr>
        <w:numPr>
          <w:ilvl w:val="0"/>
          <w:numId w:val="1001"/>
        </w:numPr>
        <w:pStyle w:val="Compact"/>
      </w:pPr>
      <w:r>
        <w:rPr>
          <w:bCs/>
          <w:b/>
        </w:rPr>
        <w:t xml:space="preserve">Cultural Intelligence:</w:t>
      </w:r>
      <w:r>
        <w:t xml:space="preserve"> </w:t>
      </w:r>
      <w:r>
        <w:t xml:space="preserve">Understanding Barcelona's preference for architect-led design narratives over purely technical proposals. Sales pitches consistently emphasized how our designs respect local identity (e.g., incorporating traditional "patios" in modern layouts) and comply with the city's "Urbanismo de Calidad" guidelines.</w:t>
      </w:r>
    </w:p>
    <w:p>
      <w:pPr>
        <w:numPr>
          <w:ilvl w:val="0"/>
          <w:numId w:val="1001"/>
        </w:numPr>
        <w:pStyle w:val="Compact"/>
      </w:pPr>
      <w:r>
        <w:rPr>
          <w:bCs/>
          <w:b/>
        </w:rPr>
        <w:t xml:space="preserve">Digital Presence:</w:t>
      </w:r>
      <w:r>
        <w:t xml:space="preserve"> </w:t>
      </w:r>
      <w:r>
        <w:t xml:space="preserve">Optimization of our website for Barcelona-specific keywords ("architect Barcelona," "sustainable architecture Spain") and targeted LinkedIn campaigns focusing on Spanish real estate investors, a key growth segment in Q3.</w:t>
      </w:r>
    </w:p>
    <w:bookmarkEnd w:id="23"/>
    <w:bookmarkStart w:id="24" w:name="challenges-market-insights"/>
    <w:p>
      <w:pPr>
        <w:pStyle w:val="Heading2"/>
      </w:pPr>
      <w:r>
        <w:t xml:space="preserve">Challenges &amp; Market Insights</w:t>
      </w:r>
    </w:p>
    <w:p>
      <w:pPr>
        <w:pStyle w:val="FirstParagraph"/>
      </w:pPr>
      <w:r>
        <w:t xml:space="preserve">The primary challenge remains navigating the extended approval timelines imposed by Barcelona City Council's Architectural Heritage Office (Ajuntament de Barcelona), which can delay project start dates by 4-6 months. However, our in-house legal team specializing in Catalan urban regulations has reduced this bottleneck by 25% compared to Q2. Another notable insight is the surge in demand for architects certified under Spain's "Certificado de Eficiencia Energética" (CEE), a mandatory requirement for new builds since 2019. All new contracts signed this quarter include CEE compliance as a core deliverable, directly addressing client pain points and regulatory needs.</w:t>
      </w:r>
    </w:p>
    <w:bookmarkEnd w:id="24"/>
    <w:bookmarkStart w:id="25" w:name="future-outlook-strategic-focus"/>
    <w:p>
      <w:pPr>
        <w:pStyle w:val="Heading2"/>
      </w:pPr>
      <w:r>
        <w:t xml:space="preserve">Future Outlook &amp; Strategic Focus</w:t>
      </w:r>
    </w:p>
    <w:p>
      <w:pPr>
        <w:pStyle w:val="FirstParagraph"/>
      </w:pPr>
      <w:r>
        <w:t xml:space="preserve">The momentum from Q3 positions us strongly for the remainder of 2023 and beyond. We project continued growth in Barcelona's architectural services market, driven by Spain's National Housing Strategy (Estrategia Nacional de Vivienda) and the upcoming European Green Deal funding opportunities. Our strategic focus for Q4 includes:</w:t>
      </w:r>
    </w:p>
    <w:p>
      <w:pPr>
        <w:numPr>
          <w:ilvl w:val="0"/>
          <w:numId w:val="1002"/>
        </w:numPr>
        <w:pStyle w:val="Compact"/>
      </w:pPr>
      <w:r>
        <w:t xml:space="preserve">Expanding service offerings to include "Barcelona-Specific" Energy Audits for existing buildings, a high-demand service following the 2023 EU energy efficiency regulations.</w:t>
      </w:r>
    </w:p>
    <w:p>
      <w:pPr>
        <w:numPr>
          <w:ilvl w:val="0"/>
          <w:numId w:val="1002"/>
        </w:numPr>
        <w:pStyle w:val="Compact"/>
      </w:pPr>
      <w:r>
        <w:t xml:space="preserve">Deepening relationships with municipal projects through the Barcelona City Council's "Urban Innovation Lab," targeting public space redesigns.</w:t>
      </w:r>
    </w:p>
    <w:p>
      <w:pPr>
        <w:numPr>
          <w:ilvl w:val="0"/>
          <w:numId w:val="1002"/>
        </w:numPr>
        <w:pStyle w:val="Compact"/>
      </w:pPr>
      <w:r>
        <w:t xml:space="preserve">Developing a Spanish-language sales portfolio specifically for domestic clients to enhance accessibility within Spain's market.</w:t>
      </w:r>
    </w:p>
    <w:bookmarkEnd w:id="25"/>
    <w:bookmarkStart w:id="26" w:name="conclusion"/>
    <w:p>
      <w:pPr>
        <w:pStyle w:val="Heading2"/>
      </w:pPr>
      <w:r>
        <w:t xml:space="preserve">Conclusion</w:t>
      </w:r>
    </w:p>
    <w:p>
      <w:pPr>
        <w:pStyle w:val="FirstParagraph"/>
      </w:pPr>
      <w:r>
        <w:t xml:space="preserve">This Sales Report unequivocally demonstrates the robust demand for specialized architectural services within Spain Barcelona. Our firm's success stems not merely from technical expertise, but from an unwavering commitment to understanding and navigating the city’s unique urban fabric, cultural expectations, and evolving regulatory landscape. The 17% sales growth in Q3 is a testament to our strategic alignment with Barcelona's development priorities—where innovative architectural solutions are not just desired, but essential for sustainable urban progress. As Barcelona continues to solidify its position as a global leader in smart city design within Spain, our Architectural services division is positioned as the critical partner for developers and municipal entities seeking to shape the city's future. We will maintain this momentum by doubling down on hyper-localized service delivery and proactive engagement with Spain's most influential urban planning bodies.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Architectural Services - Barcelona Market</dc:title>
  <dc:creator/>
  <dc:language>en</dc:language>
  <cp:keywords/>
  <dcterms:created xsi:type="dcterms:W3CDTF">2025-12-11T06:30:01Z</dcterms:created>
  <dcterms:modified xsi:type="dcterms:W3CDTF">2025-12-11T06:30:01Z</dcterms:modified>
</cp:coreProperties>
</file>

<file path=docProps/custom.xml><?xml version="1.0" encoding="utf-8"?>
<Properties xmlns="http://schemas.openxmlformats.org/officeDocument/2006/custom-properties" xmlns:vt="http://schemas.openxmlformats.org/officeDocument/2006/docPropsVTypes"/>
</file>