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Performance</w:t>
      </w:r>
    </w:p>
    <w:bookmarkStart w:id="33" w:name="X23e0caab81ce5865f27ce52b9d2dfdaa1de9a94"/>
    <w:p>
      <w:pPr>
        <w:pStyle w:val="Heading1"/>
      </w:pPr>
      <w:r>
        <w:t xml:space="preserve">Q3 2023 Architect Sales Report: Spain Madrid Market Analysis</w:t>
      </w:r>
    </w:p>
    <w:bookmarkStart w:id="20" w:name="executive-summary"/>
    <w:p>
      <w:pPr>
        <w:pStyle w:val="Heading2"/>
      </w:pPr>
      <w:r>
        <w:t xml:space="preserve">Executive Summary</w:t>
      </w:r>
    </w:p>
    <w:p>
      <w:pPr>
        <w:pStyle w:val="FirstParagraph"/>
      </w:pPr>
      <w:r>
        <w:t xml:space="preserve">This comprehensive Sales Report details the performance of our architectural services in the dynamic Spain Madrid market during Q3 2023. As a leading architectural firm with deep roots in Spanish design traditions and modern urban development, we've achieved significant milestones reflecting our strategic positioning within this pivotal European capital city. The report demonstrates how our Architect expertise has driven exceptional client acquisition and project delivery across residential, commercial, and sustainable architecture sectors in Madrid.</w:t>
      </w:r>
    </w:p>
    <w:p>
      <w:pPr>
        <w:pStyle w:val="BodyText"/>
      </w:pPr>
      <w:r>
        <w:t xml:space="preserve">Key highlights include a 27% year-over-year increase in signed contracts, with Madrid accounting for 68% of total Spanish revenue. Our strategic focus on high-value projects aligned with Spain's national urban regeneration initiatives has positioned us as a preferred Architect partner for both local developers and international clients seeking premium design solutions in the Spanish market.</w:t>
      </w:r>
    </w:p>
    <w:bookmarkEnd w:id="20"/>
    <w:bookmarkStart w:id="21" w:name="spain-madrid-market-overview"/>
    <w:p>
      <w:pPr>
        <w:pStyle w:val="Heading2"/>
      </w:pPr>
      <w:r>
        <w:t xml:space="preserve">Spain Madrid Market Overview</w:t>
      </w:r>
    </w:p>
    <w:p>
      <w:pPr>
        <w:pStyle w:val="FirstParagraph"/>
      </w:pPr>
      <w:r>
        <w:t xml:space="preserve">The Madrid architectural landscape continues to evolve with unprecedented momentum, driven by Spain's economic recovery and government investment in urban infrastructure. As the capital city of Spain, Madrid represents a critical growth engine for architectural firms, hosting 43% of all national construction permits issued in Q3 2023 according to the Spanish Ministry of Development. The market shows strong demand across three key segments:</w:t>
      </w:r>
    </w:p>
    <w:p>
      <w:pPr>
        <w:numPr>
          <w:ilvl w:val="0"/>
          <w:numId w:val="1001"/>
        </w:numPr>
        <w:pStyle w:val="Compact"/>
      </w:pPr>
      <w:r>
        <w:rPr>
          <w:bCs/>
          <w:b/>
        </w:rPr>
        <w:t xml:space="preserve">Residential Premium Projects:</w:t>
      </w:r>
      <w:r>
        <w:t xml:space="preserve"> </w:t>
      </w:r>
      <w:r>
        <w:t xml:space="preserve">Surge in luxury apartment developments in Salamanca, Chamartín, and Chamberí districts</w:t>
      </w:r>
    </w:p>
    <w:p>
      <w:pPr>
        <w:numPr>
          <w:ilvl w:val="0"/>
          <w:numId w:val="1001"/>
        </w:numPr>
        <w:pStyle w:val="Compact"/>
      </w:pPr>
      <w:r>
        <w:rPr>
          <w:bCs/>
          <w:b/>
        </w:rPr>
        <w:t xml:space="preserve">Sustainable Commercial Architecture:</w:t>
      </w:r>
      <w:r>
        <w:t xml:space="preserve"> </w:t>
      </w:r>
      <w:r>
        <w:t xml:space="preserve">Mandatory 40% energy efficiency standards driving demand for LEED-certified designs</w:t>
      </w:r>
    </w:p>
    <w:p>
      <w:pPr>
        <w:numPr>
          <w:ilvl w:val="0"/>
          <w:numId w:val="1001"/>
        </w:numPr>
        <w:pStyle w:val="Compact"/>
      </w:pPr>
      <w:r>
        <w:rPr>
          <w:bCs/>
          <w:b/>
        </w:rPr>
        <w:t xml:space="preserve">Historic Preservation Projects:</w:t>
      </w:r>
      <w:r>
        <w:t xml:space="preserve"> </w:t>
      </w:r>
      <w:r>
        <w:t xml:space="preserve">Increasing government incentives for adaptive reuse of Madrid's architectural heritage</w:t>
      </w:r>
    </w:p>
    <w:p>
      <w:pPr>
        <w:pStyle w:val="FirstParagraph"/>
      </w:pPr>
      <w:r>
        <w:t xml:space="preserve">"Madrid's architectural market is experiencing a renaissance where traditional Spanish aesthetics seamlessly integrate with cutting-edge European design principles. As an Architect firm deeply embedded in Spain Madrid's cultural context, our ability to navigate both regulatory frameworks and client expectations has been pivotal to our success."</w:t>
      </w:r>
    </w:p>
    <w:bookmarkEnd w:id="21"/>
    <w:bookmarkStart w:id="22" w:name="sales-performance-metrics"/>
    <w:p>
      <w:pPr>
        <w:pStyle w:val="Heading2"/>
      </w:pPr>
      <w:r>
        <w:t xml:space="preserve">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Q3 2022 (YoY)</w:t>
            </w:r>
          </w:p>
        </w:tc>
        <w:tc>
          <w:tcPr/>
          <w:p>
            <w:pPr>
              <w:pStyle w:val="Compact"/>
              <w:jc w:val="left"/>
            </w:pPr>
            <w:r>
              <w:t xml:space="preserve">% Change</w:t>
            </w:r>
          </w:p>
        </w:tc>
      </w:tr>
      <w:tr>
        <w:tc>
          <w:tcPr/>
          <w:p>
            <w:pPr>
              <w:pStyle w:val="Compact"/>
              <w:jc w:val="left"/>
            </w:pPr>
            <w:r>
              <w:t xml:space="preserve">Total Signed Contracts (€)</w:t>
            </w:r>
          </w:p>
        </w:tc>
        <w:tc>
          <w:tcPr/>
          <w:p>
            <w:pPr>
              <w:pStyle w:val="Compact"/>
              <w:jc w:val="left"/>
            </w:pPr>
            <w:r>
              <w:t xml:space="preserve">€4,850,000</w:t>
            </w:r>
          </w:p>
        </w:tc>
        <w:tc>
          <w:tcPr/>
          <w:p>
            <w:pPr>
              <w:pStyle w:val="Compact"/>
              <w:jc w:val="left"/>
            </w:pPr>
            <w:r>
              <w:t xml:space="preserve">€3,825,000</w:t>
            </w:r>
          </w:p>
        </w:tc>
        <w:tc>
          <w:tcPr/>
          <w:p>
            <w:pPr>
              <w:pStyle w:val="Compact"/>
              <w:jc w:val="left"/>
            </w:pPr>
            <w:r>
              <w:t xml:space="preserve">+27%</w:t>
            </w:r>
          </w:p>
        </w:tc>
      </w:tr>
      <w:tr>
        <w:tc>
          <w:tcPr/>
          <w:p>
            <w:pPr>
              <w:pStyle w:val="Compact"/>
              <w:jc w:val="left"/>
            </w:pPr>
            <w:r>
              <w:t xml:space="preserve">New Clients Acquired (Madrid)</w:t>
            </w:r>
          </w:p>
        </w:tc>
        <w:tc>
          <w:tcPr/>
          <w:p>
            <w:pPr>
              <w:pStyle w:val="Compact"/>
              <w:jc w:val="left"/>
            </w:pPr>
            <w:r>
              <w:t xml:space="preserve">37</w:t>
            </w:r>
          </w:p>
        </w:tc>
        <w:tc>
          <w:tcPr/>
          <w:p>
            <w:pPr>
              <w:pStyle w:val="Compact"/>
              <w:jc w:val="left"/>
            </w:pPr>
            <w:r>
              <w:t xml:space="preserve">29</w:t>
            </w:r>
          </w:p>
        </w:tc>
        <w:tc>
          <w:tcPr/>
          <w:p>
            <w:pPr>
              <w:pStyle w:val="Compact"/>
              <w:jc w:val="left"/>
            </w:pPr>
            <w:r>
              <w:t xml:space="preserve">+27.6%</w:t>
            </w:r>
          </w:p>
        </w:tc>
      </w:tr>
      <w:tr>
        <w:tc>
          <w:tcPr/>
          <w:p>
            <w:pPr>
              <w:pStyle w:val="Compact"/>
              <w:jc w:val="left"/>
            </w:pPr>
            <w:r>
              <w:t xml:space="preserve">Average Project Value (€)</w:t>
            </w:r>
          </w:p>
        </w:tc>
        <w:tc>
          <w:tcPr/>
          <w:p>
            <w:pPr>
              <w:pStyle w:val="Compact"/>
              <w:jc w:val="left"/>
            </w:pPr>
            <w:r>
              <w:t xml:space="preserve">€158,000</w:t>
            </w:r>
          </w:p>
        </w:tc>
        <w:tc>
          <w:tcPr/>
          <w:p>
            <w:pPr>
              <w:pStyle w:val="Compact"/>
              <w:jc w:val="left"/>
            </w:pPr>
            <w:r>
              <w:t xml:space="preserve">€132,500</w:t>
            </w:r>
          </w:p>
        </w:tc>
        <w:tc>
          <w:tcPr/>
          <w:p>
            <w:pPr>
              <w:pStyle w:val="Compact"/>
              <w:jc w:val="left"/>
            </w:pPr>
            <w:r>
              <w:t xml:space="preserve">+19.2%</w:t>
            </w:r>
          </w:p>
        </w:tc>
      </w:tr>
      <w:tr>
        <w:tc>
          <w:tcPr/>
          <w:p>
            <w:pPr>
              <w:pStyle w:val="Compact"/>
              <w:jc w:val="left"/>
            </w:pPr>
            <w:r>
              <w:t xml:space="preserve">Sales Conversion Rate</w:t>
            </w:r>
          </w:p>
        </w:tc>
        <w:tc>
          <w:tcPr/>
          <w:p>
            <w:pPr>
              <w:pStyle w:val="Compact"/>
              <w:jc w:val="left"/>
            </w:pPr>
            <w:r>
              <w:t xml:space="preserve">34%</w:t>
            </w:r>
          </w:p>
        </w:tc>
        <w:tc>
          <w:tcPr/>
          <w:p>
            <w:pPr>
              <w:pStyle w:val="Compact"/>
              <w:jc w:val="left"/>
            </w:pPr>
            <w:r>
              <w:t xml:space="preserve">28%</w:t>
            </w:r>
          </w:p>
        </w:tc>
        <w:tc>
          <w:tcPr/>
          <w:p>
            <w:pPr>
              <w:pStyle w:val="Compact"/>
              <w:jc w:val="left"/>
            </w:pPr>
            <w:r>
              <w:t xml:space="preserve">+6 pts</w:t>
            </w:r>
          </w:p>
        </w:tc>
      </w:tr>
    </w:tbl>
    <w:p>
      <w:pPr>
        <w:pStyle w:val="BodyText"/>
      </w:pPr>
      <w:r>
        <w:t xml:space="preserve">The 27% growth in Spain Madrid contracts directly correlates with our targeted approach to the local market. We've successfully positioned our firm as an Architect partner that understands both the technical requirements of Spanish building codes (Código Técnico de la Edificación) and the cultural nuances demanded by Madrid's sophisticated clients. Our specialized team in Madrid maintains relationships with key industry stakeholders including Ayuntamiento de Madrid, Instituto para la Diversificación y Ahorro Energético (IDAE), and major development firms like Grupo FGG.</w:t>
      </w:r>
    </w:p>
    <w:bookmarkEnd w:id="22"/>
    <w:bookmarkStart w:id="24" w:name="Xb6f1c94b22dbbc2dc298ea7683921df75840517"/>
    <w:p>
      <w:pPr>
        <w:pStyle w:val="Heading2"/>
      </w:pPr>
      <w:r>
        <w:t xml:space="preserve">Client Analysis: Spain Madrid Demographics</w:t>
      </w:r>
    </w:p>
    <w:bookmarkStart w:id="23" w:name="primary-client-segments"/>
    <w:p>
      <w:pPr>
        <w:pStyle w:val="Heading3"/>
      </w:pPr>
      <w:r>
        <w:t xml:space="preserve">Primary Client Segments</w:t>
      </w:r>
    </w:p>
    <w:p>
      <w:pPr>
        <w:numPr>
          <w:ilvl w:val="0"/>
          <w:numId w:val="1002"/>
        </w:numPr>
        <w:pStyle w:val="Compact"/>
      </w:pPr>
      <w:r>
        <w:rPr>
          <w:bCs/>
          <w:b/>
        </w:rPr>
        <w:t xml:space="preserve">Spanish Developers (58% of contracts):</w:t>
      </w:r>
      <w:r>
        <w:t xml:space="preserve"> </w:t>
      </w:r>
      <w:r>
        <w:t xml:space="preserve">Focus on high-end residential complexes in emerging areas like Barajas and Cuatro Caminos. Our Architect team's understanding of local zoning laws has been crucial for these clients.</w:t>
      </w:r>
    </w:p>
    <w:p>
      <w:pPr>
        <w:numPr>
          <w:ilvl w:val="0"/>
          <w:numId w:val="1002"/>
        </w:numPr>
        <w:pStyle w:val="Compact"/>
      </w:pPr>
      <w:r>
        <w:rPr>
          <w:bCs/>
          <w:b/>
        </w:rPr>
        <w:t xml:space="preserve">International Investors (29%):</w:t>
      </w:r>
      <w:r>
        <w:t xml:space="preserve"> </w:t>
      </w:r>
      <w:r>
        <w:t xml:space="preserve">European and North American firms seeking to enter the Spanish market, attracted by our bilingual (Spanish/English) service capabilities and knowledge of Madrid's commercial landscape.</w:t>
      </w:r>
    </w:p>
    <w:p>
      <w:pPr>
        <w:numPr>
          <w:ilvl w:val="0"/>
          <w:numId w:val="1002"/>
        </w:numPr>
        <w:pStyle w:val="Compact"/>
      </w:pPr>
      <w:r>
        <w:rPr>
          <w:bCs/>
          <w:b/>
        </w:rPr>
        <w:t xml:space="preserve">Government Projects (13%):</w:t>
      </w:r>
      <w:r>
        <w:t xml:space="preserve"> </w:t>
      </w:r>
      <w:r>
        <w:t xml:space="preserve">Sustainable infrastructure initiatives under Spain's National Recovery Plan, where our Architect expertise in green building earned us contracts for two community centers in Madrid.</w:t>
      </w:r>
    </w:p>
    <w:p>
      <w:pPr>
        <w:pStyle w:val="FirstParagraph"/>
      </w:pPr>
      <w:r>
        <w:t xml:space="preserve">"Our Sales Report confirms that Madrid clients increasingly value Architects who can deliver within Spain's complex regulatory environment while maintaining cultural sensitivity. The 34% conversion rate reflects our team's ability to translate technical architectural capabilities into client-specific value propositions for the Spain Madrid market."</w:t>
      </w:r>
    </w:p>
    <w:bookmarkEnd w:id="23"/>
    <w:bookmarkEnd w:id="24"/>
    <w:bookmarkStart w:id="27" w:name="strategic-challenges-opportunities"/>
    <w:p>
      <w:pPr>
        <w:pStyle w:val="Heading2"/>
      </w:pPr>
      <w:r>
        <w:t xml:space="preserve">Strategic Challenges &amp; Opportunities</w:t>
      </w:r>
    </w:p>
    <w:bookmarkStart w:id="25" w:name="Xa598a19fea1ae54de8bd051d9ba0b1baed59f3c"/>
    <w:p>
      <w:pPr>
        <w:pStyle w:val="Heading3"/>
      </w:pPr>
      <w:r>
        <w:t xml:space="preserve">Current Market Challenges in Spain Madrid</w:t>
      </w:r>
    </w:p>
    <w:p>
      <w:pPr>
        <w:numPr>
          <w:ilvl w:val="0"/>
          <w:numId w:val="1003"/>
        </w:numPr>
        <w:pStyle w:val="Compact"/>
      </w:pPr>
      <w:r>
        <w:rPr>
          <w:bCs/>
          <w:b/>
        </w:rPr>
        <w:t xml:space="preserve">Regulatory Complexity:</w:t>
      </w:r>
      <w:r>
        <w:t xml:space="preserve"> </w:t>
      </w:r>
      <w:r>
        <w:t xml:space="preserve">Fragmented municipal approval processes across Madrid's 21 districts requiring specialized Architect knowledge</w:t>
      </w:r>
    </w:p>
    <w:p>
      <w:pPr>
        <w:numPr>
          <w:ilvl w:val="0"/>
          <w:numId w:val="1003"/>
        </w:numPr>
        <w:pStyle w:val="Compact"/>
      </w:pPr>
      <w:r>
        <w:rPr>
          <w:bCs/>
          <w:b/>
        </w:rPr>
        <w:t xml:space="preserve">Material Cost Volatility:</w:t>
      </w:r>
      <w:r>
        <w:t xml:space="preserve"> </w:t>
      </w:r>
      <w:r>
        <w:t xml:space="preserve">18% year-over-year increase in construction materials impacting project budgeting</w:t>
      </w:r>
    </w:p>
    <w:p>
      <w:pPr>
        <w:numPr>
          <w:ilvl w:val="0"/>
          <w:numId w:val="1003"/>
        </w:numPr>
        <w:pStyle w:val="Compact"/>
      </w:pPr>
      <w:r>
        <w:rPr>
          <w:bCs/>
          <w:b/>
        </w:rPr>
        <w:t xml:space="preserve">Talent Competition:</w:t>
      </w:r>
      <w:r>
        <w:t xml:space="preserve"> </w:t>
      </w:r>
      <w:r>
        <w:t xml:space="preserve">Rising demand for skilled Architect professionals in Madrid outpacing local university output by 22%</w:t>
      </w:r>
    </w:p>
    <w:bookmarkEnd w:id="25"/>
    <w:bookmarkStart w:id="26" w:name="emerging-opportunities"/>
    <w:p>
      <w:pPr>
        <w:pStyle w:val="Heading3"/>
      </w:pPr>
      <w:r>
        <w:t xml:space="preserve">Emerging Opportunities</w:t>
      </w:r>
    </w:p>
    <w:p>
      <w:pPr>
        <w:numPr>
          <w:ilvl w:val="0"/>
          <w:numId w:val="1004"/>
        </w:numPr>
        <w:pStyle w:val="Compact"/>
      </w:pPr>
      <w:r>
        <w:rPr>
          <w:bCs/>
          <w:b/>
        </w:rPr>
        <w:t xml:space="preserve">Spain's Green Building Incentives:</w:t>
      </w:r>
      <w:r>
        <w:t xml:space="preserve"> </w:t>
      </w:r>
      <w:r>
        <w:t xml:space="preserve">Up to 40% tax credits for energy-efficient projects under Spain's Climate Change Law (Law 7/2021)</w:t>
      </w:r>
    </w:p>
    <w:p>
      <w:pPr>
        <w:numPr>
          <w:ilvl w:val="0"/>
          <w:numId w:val="1004"/>
        </w:numPr>
        <w:pStyle w:val="Compact"/>
      </w:pPr>
      <w:r>
        <w:rPr>
          <w:bCs/>
          <w:b/>
        </w:rPr>
        <w:t xml:space="preserve">Urban Regeneration Projects:</w:t>
      </w:r>
      <w:r>
        <w:t xml:space="preserve"> </w:t>
      </w:r>
      <w:r>
        <w:t xml:space="preserve">€5.3 billion allocated by Madrid City Council for historic district revitalization</w:t>
      </w:r>
    </w:p>
    <w:p>
      <w:pPr>
        <w:numPr>
          <w:ilvl w:val="0"/>
          <w:numId w:val="1004"/>
        </w:numPr>
        <w:pStyle w:val="Compact"/>
      </w:pPr>
      <w:r>
        <w:rPr>
          <w:bCs/>
          <w:b/>
        </w:rPr>
        <w:t xml:space="preserve">Digital Transformation:</w:t>
      </w:r>
      <w:r>
        <w:t xml:space="preserve"> </w:t>
      </w:r>
      <w:r>
        <w:t xml:space="preserve">Growing demand for BIM (Building Information Modeling) services among Madrid's architectural firms</w:t>
      </w:r>
    </w:p>
    <w:p>
      <w:pPr>
        <w:pStyle w:val="FirstParagraph"/>
      </w:pPr>
      <w:r>
        <w:t xml:space="preserve">The Sales Report indicates that our firm has successfully capitalized on these opportunities through our dedicated Spain Madrid market team, which now includes three certified BIM specialists and two sustainability consultants with local expertise.</w:t>
      </w:r>
    </w:p>
    <w:bookmarkEnd w:id="26"/>
    <w:bookmarkEnd w:id="27"/>
    <w:bookmarkStart w:id="31" w:name="future-strategic-initiatives"/>
    <w:p>
      <w:pPr>
        <w:pStyle w:val="Heading2"/>
      </w:pPr>
      <w:r>
        <w:t xml:space="preserve">Future Strategic Initiatives</w:t>
      </w:r>
    </w:p>
    <w:p>
      <w:pPr>
        <w:pStyle w:val="FirstParagraph"/>
      </w:pPr>
      <w:r>
        <w:t xml:space="preserve">Based on this Sales Report analysis, we're implementing three key initiatives to strengthen our position as the premier Architect firm in Spain Madrid:</w:t>
      </w:r>
    </w:p>
    <w:bookmarkStart w:id="28" w:name="madrid-urban-innovation-hub"/>
    <w:p>
      <w:pPr>
        <w:pStyle w:val="Heading3"/>
      </w:pPr>
      <w:r>
        <w:t xml:space="preserve">1. Madrid Urban Innovation Hub</w:t>
      </w:r>
    </w:p>
    <w:p>
      <w:pPr>
        <w:pStyle w:val="FirstParagraph"/>
      </w:pPr>
      <w:r>
        <w:t xml:space="preserve">Establishing a physical office in the 19th-century industrial zone of Lavapiés to be closer to emerging development clusters, featuring interactive client studios with real-time visualization of projects using Barcelona's digital twin technology adapted for Madrid context.</w:t>
      </w:r>
    </w:p>
    <w:bookmarkEnd w:id="28"/>
    <w:bookmarkStart w:id="29" w:name="Xe6e02b49e14e0334ee8b7859d921e8ffc630c8a"/>
    <w:p>
      <w:pPr>
        <w:pStyle w:val="Heading3"/>
      </w:pPr>
      <w:r>
        <w:t xml:space="preserve">2. Spain Madrid Sustainable Design Certification</w:t>
      </w:r>
    </w:p>
    <w:p>
      <w:pPr>
        <w:pStyle w:val="FirstParagraph"/>
      </w:pPr>
      <w:r>
        <w:t xml:space="preserve">Developing a proprietary certification program recognizing projects that exceed Spanish energy efficiency standards by 25%, directly aligning with Spain's national sustainability goals and differentiating us in the competitive Madrid market.</w:t>
      </w:r>
    </w:p>
    <w:bookmarkEnd w:id="29"/>
    <w:bookmarkStart w:id="30" w:name="local-talent-development-program"/>
    <w:p>
      <w:pPr>
        <w:pStyle w:val="Heading3"/>
      </w:pPr>
      <w:r>
        <w:t xml:space="preserve">3. Local Talent Development Program</w:t>
      </w:r>
    </w:p>
    <w:p>
      <w:pPr>
        <w:pStyle w:val="FirstParagraph"/>
      </w:pPr>
      <w:r>
        <w:t xml:space="preserve">Collaborating with Universidad Politécnica de Madrid to create an Architect apprenticeship pathway, addressing the 22% talent gap while building our pipeline of locally trained professionals who understand Spain Madrid's unique design challenges.</w:t>
      </w:r>
    </w:p>
    <w:bookmarkEnd w:id="30"/>
    <w:bookmarkEnd w:id="31"/>
    <w:bookmarkStart w:id="32" w:name="conclusion"/>
    <w:p>
      <w:pPr>
        <w:pStyle w:val="Heading2"/>
      </w:pPr>
      <w:r>
        <w:t xml:space="preserve">Conclusion</w:t>
      </w:r>
    </w:p>
    <w:p>
      <w:pPr>
        <w:pStyle w:val="FirstParagraph"/>
      </w:pPr>
      <w:r>
        <w:t xml:space="preserve">This Q3 2023 Sales Report affirms that our firm has successfully navigated the complexities of the Spain Madrid architectural market through strategic specialization, cultural intelligence, and technical excellence. The data clearly shows how an Architect firm deeply embedded in Madrid's professional ecosystem can achieve exceptional growth while delivering value to clients seeking premium design solutions within Spain's regulatory framework.</w:t>
      </w:r>
    </w:p>
    <w:p>
      <w:pPr>
        <w:pStyle w:val="BodyText"/>
      </w:pPr>
      <w:r>
        <w:t xml:space="preserve">As we move into Q4 2023, our focus remains on expanding the value proposition for Spain Madrid clients through sustainability leadership and hyper-local market expertise. The 27% growth in sales revenue demonstrates that when an Architect firm combines global best practices with deep regional understanding, it creates unstoppable momentum in competitive markets like Madrid.</w:t>
      </w:r>
    </w:p>
    <w:p>
      <w:pPr>
        <w:pStyle w:val="BodyText"/>
      </w:pPr>
      <w:r>
        <w:t xml:space="preserve">We are confident that our strategic initiatives will position us to capture 35% of the high-value architectural services market in Spain Madrid by Q2 2024, further solidifying our reputation as the preferred Architect partner for sophisticated clients navigating Spain's evolving urban landscape. The future of architecture in Madrid isn't just about building structures—it's about creating sustainable, culturally resonant spaces that define the city's next chapter.</w:t>
      </w:r>
    </w:p>
    <w:bookmarkEnd w:id="32"/>
    <w:p>
      <w:pPr>
        <w:pStyle w:val="BodyText"/>
      </w:pPr>
      <w:r>
        <w:t xml:space="preserve">Prepared by Sales &amp; Strategy Department | Architectural Services Division | Spain Madrid Office</w:t>
      </w:r>
    </w:p>
    <w:p>
      <w:pPr>
        <w:pStyle w:val="BodyText"/>
      </w:pPr>
      <w:r>
        <w:t xml:space="preserve">Report Date: October 15, 2023 | Confidential - For Internal Use Only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Sales Report: Spain Madrid Market Performance</dc:title>
  <dc:creator/>
  <dc:language>en</dc:language>
  <cp:keywords/>
  <dcterms:created xsi:type="dcterms:W3CDTF">2026-07-20T01:04:48Z</dcterms:created>
  <dcterms:modified xsi:type="dcterms:W3CDTF">2026-07-20T01:04:48Z</dcterms:modified>
</cp:coreProperties>
</file>

<file path=docProps/custom.xml><?xml version="1.0" encoding="utf-8"?>
<Properties xmlns="http://schemas.openxmlformats.org/officeDocument/2006/custom-properties" xmlns:vt="http://schemas.openxmlformats.org/officeDocument/2006/docPropsVTypes"/>
</file>