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Architectural</w:t>
      </w:r>
      <w:r>
        <w:t xml:space="preserve"> </w:t>
      </w:r>
      <w:r>
        <w:t xml:space="preserve">Practice</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809dd568beb8d3015d4f60bb519d077f125bfe"/>
    <w:p>
      <w:pPr>
        <w:pStyle w:val="Heading1"/>
      </w:pPr>
      <w:r>
        <w:t xml:space="preserve">Q3 2024 Sales Report: Architectural Practice Performance in Sri Lanka Colombo</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Executive Management &amp; Stakeholders |</w:t>
      </w:r>
      <w:r>
        <w:t xml:space="preserve"> </w:t>
      </w:r>
      <w:r>
        <w:rPr>
          <w:bCs/>
          <w:b/>
        </w:rPr>
        <w:t xml:space="preserve">Prepared By:</w:t>
      </w:r>
      <w:r>
        <w:t xml:space="preserve"> </w:t>
      </w:r>
      <w:r>
        <w:t xml:space="preserve">Commercial Development Division, Colombo Office</w:t>
      </w:r>
    </w:p>
    <w:bookmarkStart w:id="20" w:name="i.-executive-summary"/>
    <w:p>
      <w:pPr>
        <w:pStyle w:val="Heading2"/>
      </w:pPr>
      <w:r>
        <w:t xml:space="preserve">I. Executive Summary</w:t>
      </w:r>
    </w:p>
    <w:p>
      <w:pPr>
        <w:pStyle w:val="FirstParagraph"/>
      </w:pPr>
      <w:r>
        <w:t xml:space="preserve">The Q3 2024 Sales Report for our architectural practice in Sri Lanka Colombo demonstrates robust performance, reflecting strong market positioning and strategic execution. We achieved a 17% year-over-year increase in signed project contracts, totaling LKR 855 million (USD $3.2 million), with significant growth across commercial, residential, and sustainable design sectors. This success underscores the critical role of our</w:t>
      </w:r>
      <w:r>
        <w:t xml:space="preserve"> </w:t>
      </w:r>
      <w:r>
        <w:rPr>
          <w:bCs/>
          <w:b/>
        </w:rPr>
        <w:t xml:space="preserve">Architect</w:t>
      </w:r>
      <w:r>
        <w:t xml:space="preserve"> </w:t>
      </w:r>
      <w:r>
        <w:t xml:space="preserve">team in navigating Colombo’s dynamic construction landscape. The report details key market insights, project milestones, client acquisition strategies, and actionable recommendations for Q4 2024 to sustain momentum in the Sri Lanka Colombo market.</w:t>
      </w:r>
    </w:p>
    <w:bookmarkEnd w:id="20"/>
    <w:bookmarkStart w:id="21" w:name="X9af49394ae95f56ca7ca27e547af5b92806c217"/>
    <w:p>
      <w:pPr>
        <w:pStyle w:val="Heading2"/>
      </w:pPr>
      <w:r>
        <w:t xml:space="preserve">II. Market Analysis: Sri Lanka Colombo Context</w:t>
      </w:r>
    </w:p>
    <w:p>
      <w:pPr>
        <w:pStyle w:val="FirstParagraph"/>
      </w:pPr>
      <w:r>
        <w:t xml:space="preserve">The Colombo real estate sector continues its recovery post-pandemic, driven by infrastructure projects like the Port City Colombo, increased foreign investment in high-end residential developments, and government-led urban renewal initiatives. As of Q3 2024, the commercial construction pipeline in Sri Lanka Colombo has grown by 12% YoY (Source: Department of Census and Statistics), with heightened demand for LEED-certified buildings due to climate resilience needs following recent monsoon floods. Our</w:t>
      </w:r>
      <w:r>
        <w:t xml:space="preserve"> </w:t>
      </w:r>
      <w:r>
        <w:rPr>
          <w:bCs/>
          <w:b/>
        </w:rPr>
        <w:t xml:space="preserve">Architect</w:t>
      </w:r>
      <w:r>
        <w:t xml:space="preserve"> </w:t>
      </w:r>
      <w:r>
        <w:t xml:space="preserve">practice has capitalized on this trend, securing 6 of the top 10 sustainable design mandates in Colombo during the quarter. The competitive landscape remains intense, with local firms and international practices vying for projects; however, our specialized focus on Sri Lanka-specific regulatory frameworks (National Building Code) and climate-responsive design differentiates us.</w:t>
      </w:r>
    </w:p>
    <w:p>
      <w:pPr>
        <w:pStyle w:val="BodyText"/>
      </w:pPr>
      <w:r>
        <w:rPr>
          <w:bCs/>
          <w:b/>
        </w:rPr>
        <w:t xml:space="preserve">Colombo Market Insight:</w:t>
      </w:r>
      <w:r>
        <w:t xml:space="preserve"> </w:t>
      </w:r>
      <w:r>
        <w:t xml:space="preserve">72% of new commercial clients in Colombo prioritized architects with local environmental compliance expertise over international firms, citing faster permitting processes and cost efficiency.</w:t>
      </w:r>
    </w:p>
    <w:bookmarkEnd w:id="21"/>
    <w:bookmarkStart w:id="22" w:name="Xf22fea1b154045f22d38439d8575cc4468e9f40"/>
    <w:p>
      <w:pPr>
        <w:pStyle w:val="Heading2"/>
      </w:pPr>
      <w:r>
        <w:t xml:space="preserve">III. Project Highlights &amp; Sales Performance</w:t>
      </w:r>
    </w:p>
    <w:p>
      <w:pPr>
        <w:pStyle w:val="FirstParagraph"/>
      </w:pPr>
      <w:r>
        <w:t xml:space="preserve">The following table summarizes key projects secured in Q3 2024 across Sri Lanka Colombo:</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Project Name</w:t>
            </w:r>
          </w:p>
        </w:tc>
        <w:tc>
          <w:tcPr/>
          <w:p>
            <w:pPr>
              <w:pStyle w:val="Compact"/>
              <w:jc w:val="left"/>
            </w:pPr>
            <w:r>
              <w:t xml:space="preserve">Type</w:t>
            </w:r>
          </w:p>
        </w:tc>
        <w:tc>
          <w:tcPr/>
          <w:p>
            <w:pPr>
              <w:pStyle w:val="Compact"/>
              <w:jc w:val="left"/>
            </w:pPr>
            <w:r>
              <w:t xml:space="preserve">Client</w:t>
            </w:r>
          </w:p>
        </w:tc>
        <w:tc>
          <w:tcPr/>
          <w:p>
            <w:pPr>
              <w:pStyle w:val="Compact"/>
              <w:jc w:val="left"/>
            </w:pPr>
            <w:r>
              <w:t xml:space="preserve">Contract Value (LKR)</w:t>
            </w:r>
          </w:p>
        </w:tc>
        <w:tc>
          <w:tcPr/>
          <w:p>
            <w:pPr>
              <w:pStyle w:val="Compact"/>
              <w:jc w:val="left"/>
            </w:pPr>
            <w:r>
              <w:t xml:space="preserve">Status</w:t>
            </w:r>
          </w:p>
        </w:tc>
      </w:tr>
      <w:tr>
        <w:tc>
          <w:tcPr/>
          <w:p>
            <w:pPr>
              <w:pStyle w:val="Compact"/>
              <w:jc w:val="left"/>
            </w:pPr>
            <w:r>
              <w:t xml:space="preserve">Borella Tech Hub Expansion</w:t>
            </w:r>
          </w:p>
        </w:tc>
        <w:tc>
          <w:tcPr/>
          <w:p>
            <w:pPr>
              <w:pStyle w:val="Compact"/>
              <w:jc w:val="left"/>
            </w:pPr>
            <w:r>
              <w:t xml:space="preserve">Commercial Office</w:t>
            </w:r>
          </w:p>
        </w:tc>
        <w:tc>
          <w:tcPr/>
          <w:p>
            <w:pPr>
              <w:pStyle w:val="Compact"/>
              <w:jc w:val="left"/>
            </w:pPr>
            <w:r>
              <w:t xml:space="preserve">Miracle Group (Sri Lanka)</w:t>
            </w:r>
          </w:p>
        </w:tc>
        <w:tc>
          <w:tcPr/>
          <w:p>
            <w:pPr>
              <w:pStyle w:val="Compact"/>
              <w:jc w:val="left"/>
            </w:pPr>
            <w:r>
              <w:t xml:space="preserve">245,000,000</w:t>
            </w:r>
          </w:p>
        </w:tc>
        <w:tc>
          <w:tcPr/>
          <w:p>
            <w:pPr>
              <w:pStyle w:val="Compact"/>
              <w:jc w:val="left"/>
            </w:pPr>
            <w:r>
              <w:t xml:space="preserve">Design Finalized</w:t>
            </w:r>
          </w:p>
        </w:tc>
      </w:tr>
      <w:tr>
        <w:tc>
          <w:tcPr/>
          <w:p>
            <w:pPr>
              <w:pStyle w:val="Compact"/>
              <w:jc w:val="left"/>
            </w:pPr>
            <w:r>
              <w:t xml:space="preserve">Kotahena Green Residential Towers</w:t>
            </w:r>
          </w:p>
        </w:tc>
        <w:tc>
          <w:tcPr/>
          <w:p>
            <w:pPr>
              <w:pStyle w:val="Compact"/>
              <w:jc w:val="left"/>
            </w:pPr>
            <w:r>
              <w:t xml:space="preserve">Mixed-Use Housing (Sustainable)</w:t>
            </w:r>
          </w:p>
        </w:tc>
        <w:tc>
          <w:tcPr>
            <w:gridSpan w:val="2"/>
          </w:tcPr>
          <w:p>
            <w:pPr>
              <w:pStyle w:val="Compact"/>
              <w:jc w:val="left"/>
            </w:pPr>
            <w:r>
              <w:t xml:space="preserve">189,500,000 (Phase 1)</w:t>
            </w:r>
          </w:p>
        </w:tc>
        <w:tc>
          <w:tcPr/>
          <w:p>
            <w:pPr>
              <w:pStyle w:val="Compact"/>
            </w:pPr>
          </w:p>
        </w:tc>
      </w:tr>
      <w:tr>
        <w:tc>
          <w:tcPr/>
          <w:p>
            <w:pPr>
              <w:pStyle w:val="Compact"/>
              <w:jc w:val="left"/>
            </w:pPr>
            <w:r>
              <w:t xml:space="preserve">Colombo Central Hospital Redevelopment</w:t>
            </w:r>
          </w:p>
        </w:tc>
        <w:tc>
          <w:tcPr/>
          <w:p>
            <w:pPr>
              <w:pStyle w:val="Compact"/>
              <w:jc w:val="left"/>
            </w:pPr>
            <w:r>
              <w:t xml:space="preserve">Public Infrastructure</w:t>
            </w:r>
          </w:p>
        </w:tc>
        <w:tc>
          <w:tcPr/>
          <w:p>
            <w:pPr>
              <w:pStyle w:val="Compact"/>
              <w:jc w:val="left"/>
            </w:pPr>
            <w:r>
              <w:t xml:space="preserve">Sri Lanka Ministry of Health</w:t>
            </w:r>
          </w:p>
        </w:tc>
        <w:tc>
          <w:tcPr/>
          <w:p>
            <w:pPr>
              <w:pStyle w:val="Compact"/>
              <w:jc w:val="left"/>
            </w:pPr>
            <w:r>
              <w:t xml:space="preserve">312,800,000</w:t>
            </w:r>
          </w:p>
        </w:tc>
        <w:tc>
          <w:tcPr/>
          <w:p>
            <w:pPr>
              <w:pStyle w:val="Compact"/>
              <w:jc w:val="left"/>
            </w:pPr>
            <w:r>
              <w:t xml:space="preserve">Contract Awarded (Q3)</w:t>
            </w:r>
          </w:p>
        </w:tc>
      </w:tr>
      <w:tr>
        <w:tc>
          <w:tcPr>
            <w:gridSpan w:val="2"/>
          </w:tcPr>
          <w:p>
            <w:pPr>
              <w:pStyle w:val="Compact"/>
              <w:jc w:val="left"/>
            </w:pPr>
            <w:r>
              <w:t xml:space="preserve">Total Q3 Secured Projects:</w:t>
            </w:r>
          </w:p>
        </w:tc>
        <w:tc>
          <w:tcPr/>
          <w:p>
            <w:pPr>
              <w:pStyle w:val="Compact"/>
              <w:jc w:val="left"/>
            </w:pPr>
            <w:r>
              <w:t xml:space="preserve">LKR 855,300,000</w:t>
            </w:r>
          </w:p>
        </w:tc>
        <w:tc>
          <w:tcPr/>
          <w:p>
            <w:pPr>
              <w:pStyle w:val="Compact"/>
            </w:pPr>
          </w:p>
        </w:tc>
        <w:tc>
          <w:tcPr/>
          <w:p>
            <w:pPr>
              <w:pStyle w:val="Compact"/>
            </w:pPr>
          </w:p>
        </w:tc>
      </w:tr>
    </w:tbl>
    <w:p>
      <w:pPr>
        <w:pStyle w:val="BodyText"/>
      </w:pPr>
      <w:r>
        <w:t xml:space="preserve">Notably, the Colombo Central Hospital Redevelopment (LKR 312.8M) represents our largest single contract to date in Sri Lanka Colombo and underscores our growing credibility with national government bodies. The project required extensive collaboration with local engineering firms and adherence to strict public procurement guidelines—a testament to our</w:t>
      </w:r>
      <w:r>
        <w:t xml:space="preserve"> </w:t>
      </w:r>
      <w:r>
        <w:rPr>
          <w:bCs/>
          <w:b/>
        </w:rPr>
        <w:t xml:space="preserve">Architect</w:t>
      </w:r>
      <w:r>
        <w:t xml:space="preserve"> </w:t>
      </w:r>
      <w:r>
        <w:t xml:space="preserve">team’s regulatory expertise. Additionally, the Borella Tech Hub Expansion secured via a competitive bid against two international firms highlights the value we deliver through hyper-localized design solutions tailored for Colombo’s urban density challenges.</w:t>
      </w:r>
    </w:p>
    <w:bookmarkEnd w:id="22"/>
    <w:bookmarkStart w:id="23" w:name="X26cf38520f553d506570bc8f81d42b5ffb28cbe"/>
    <w:p>
      <w:pPr>
        <w:pStyle w:val="Heading2"/>
      </w:pPr>
      <w:r>
        <w:t xml:space="preserve">IV. Sales Strategy &amp; Client Acquisition in Colombo</w:t>
      </w:r>
    </w:p>
    <w:p>
      <w:pPr>
        <w:pStyle w:val="FirstParagraph"/>
      </w:pPr>
      <w:r>
        <w:t xml:space="preserve">Our success in Sri Lanka Colombo stems from a three-pillar sales strategy:</w:t>
      </w:r>
    </w:p>
    <w:p>
      <w:pPr>
        <w:numPr>
          <w:ilvl w:val="0"/>
          <w:numId w:val="1001"/>
        </w:numPr>
        <w:pStyle w:val="Compact"/>
      </w:pPr>
      <w:r>
        <w:rPr>
          <w:bCs/>
          <w:b/>
        </w:rPr>
        <w:t xml:space="preserve">Hyper-Local Market Intelligence:</w:t>
      </w:r>
      <w:r>
        <w:t xml:space="preserve"> </w:t>
      </w:r>
      <w:r>
        <w:t xml:space="preserve">Dedicated team analyzing Colombo zoning laws, flood-prone area data, and client preferences (e.g., 68% of residential clients now demand rainwater harvesting systems).</w:t>
      </w:r>
    </w:p>
    <w:p>
      <w:pPr>
        <w:numPr>
          <w:ilvl w:val="0"/>
          <w:numId w:val="1001"/>
        </w:numPr>
        <w:pStyle w:val="Compact"/>
      </w:pPr>
      <w:r>
        <w:rPr>
          <w:bCs/>
          <w:b/>
        </w:rPr>
        <w:t xml:space="preserve">Sustainable Design Positioning:</w:t>
      </w:r>
      <w:r>
        <w:t xml:space="preserve"> </w:t>
      </w:r>
      <w:r>
        <w:t xml:space="preserve">All Q3 proposals emphasized carbon footprint reduction and local material sourcing—key selling points for Colombo’s emerging eco-conscious developers.</w:t>
      </w:r>
    </w:p>
    <w:p>
      <w:pPr>
        <w:numPr>
          <w:ilvl w:val="0"/>
          <w:numId w:val="1001"/>
        </w:numPr>
        <w:pStyle w:val="Compact"/>
      </w:pPr>
      <w:r>
        <w:rPr>
          <w:bCs/>
          <w:b/>
        </w:rPr>
        <w:t xml:space="preserve">Stakeholder Relationship Building:</w:t>
      </w:r>
      <w:r>
        <w:t xml:space="preserve"> </w:t>
      </w:r>
      <w:r>
        <w:t xml:space="preserve">Strategic partnerships with the Colombo Municipal Council and Sri Lanka Institute of Architects (SLIA) facilitated 42% of new leads via referrals.</w:t>
      </w:r>
    </w:p>
    <w:bookmarkEnd w:id="23"/>
    <w:bookmarkStart w:id="24" w:name="v.-challenges-mitigation-measures"/>
    <w:p>
      <w:pPr>
        <w:pStyle w:val="Heading2"/>
      </w:pPr>
      <w:r>
        <w:t xml:space="preserve">V. Challenges &amp; Mitigation Measures</w:t>
      </w:r>
    </w:p>
    <w:p>
      <w:pPr>
        <w:pStyle w:val="FirstParagraph"/>
      </w:pPr>
      <w:r>
        <w:t xml:space="preserve">Despite strong performance, challenges emerged in Q3:</w:t>
      </w:r>
    </w:p>
    <w:p>
      <w:pPr>
        <w:numPr>
          <w:ilvl w:val="0"/>
          <w:numId w:val="1002"/>
        </w:numPr>
        <w:pStyle w:val="Compact"/>
      </w:pPr>
      <w:r>
        <w:rPr>
          <w:bCs/>
          <w:b/>
        </w:rPr>
        <w:t xml:space="preserve">Supply Chain Delays:</w:t>
      </w:r>
      <w:r>
        <w:t xml:space="preserve"> </w:t>
      </w:r>
      <w:r>
        <w:t xml:space="preserve">Imported sustainable building materials faced 6-8 week delays due to port congestion at Colombo Port. *Mitigation:* We partnered with local suppliers of Sri Lankan bamboo and recycled concrete, reducing lead times by 40%.</w:t>
      </w:r>
    </w:p>
    <w:p>
      <w:pPr>
        <w:numPr>
          <w:ilvl w:val="0"/>
          <w:numId w:val="1002"/>
        </w:numPr>
        <w:pStyle w:val="Compact"/>
      </w:pPr>
      <w:r>
        <w:rPr>
          <w:bCs/>
          <w:b/>
        </w:rPr>
        <w:t xml:space="preserve">Regulatory Hurdles:</w:t>
      </w:r>
      <w:r>
        <w:t xml:space="preserve"> </w:t>
      </w:r>
      <w:r>
        <w:t xml:space="preserve">Complex approvals for high-rises in Zone A (Colombo city center). *Mitigation:* Our</w:t>
      </w:r>
      <w:r>
        <w:t xml:space="preserve"> </w:t>
      </w:r>
      <w:r>
        <w:rPr>
          <w:bCs/>
          <w:b/>
        </w:rPr>
        <w:t xml:space="preserve">Architect</w:t>
      </w:r>
      <w:r>
        <w:t xml:space="preserve"> </w:t>
      </w:r>
      <w:r>
        <w:t xml:space="preserve">team now includes a dedicated regulatory compliance officer for Colombo projects, cutting approval timelines by 25%.</w:t>
      </w:r>
    </w:p>
    <w:bookmarkEnd w:id="24"/>
    <w:bookmarkStart w:id="25" w:name="vi.-forward-looking-recommendations"/>
    <w:p>
      <w:pPr>
        <w:pStyle w:val="Heading2"/>
      </w:pPr>
      <w:r>
        <w:t xml:space="preserve">VI. Forward-Looking Recommendations</w:t>
      </w:r>
    </w:p>
    <w:p>
      <w:pPr>
        <w:pStyle w:val="FirstParagraph"/>
      </w:pPr>
      <w:r>
        <w:t xml:space="preserve">To maintain momentum in Sri Lanka Colombo through Q4 2024 and beyond, we propose:</w:t>
      </w:r>
    </w:p>
    <w:p>
      <w:pPr>
        <w:numPr>
          <w:ilvl w:val="0"/>
          <w:numId w:val="1003"/>
        </w:numPr>
        <w:pStyle w:val="Compact"/>
      </w:pPr>
      <w:r>
        <w:rPr>
          <w:bCs/>
          <w:b/>
        </w:rPr>
        <w:t xml:space="preserve">Expand Sustainable Design Portfolio:</w:t>
      </w:r>
      <w:r>
        <w:t xml:space="preserve"> </w:t>
      </w:r>
      <w:r>
        <w:t xml:space="preserve">Target 15+ LEED-certified projects by Q2 2025, aligning with Sri Lanka’s new Green Building Policy (effective Jan 2025).</w:t>
      </w:r>
    </w:p>
    <w:p>
      <w:pPr>
        <w:numPr>
          <w:ilvl w:val="0"/>
          <w:numId w:val="1003"/>
        </w:numPr>
        <w:pStyle w:val="Compact"/>
      </w:pPr>
      <w:r>
        <w:rPr>
          <w:bCs/>
          <w:b/>
        </w:rPr>
        <w:t xml:space="preserve">Leverage Colombo Port City Opportunities:</w:t>
      </w:r>
      <w:r>
        <w:t xml:space="preserve"> </w:t>
      </w:r>
      <w:r>
        <w:t xml:space="preserve">Dedicate a team to bid on Phase 3 infrastructure projects (estimated LKR 1.8B market value).</w:t>
      </w:r>
    </w:p>
    <w:bookmarkEnd w:id="25"/>
    <w:bookmarkStart w:id="26" w:name="vii.-conclusion"/>
    <w:p>
      <w:pPr>
        <w:pStyle w:val="Heading2"/>
      </w:pPr>
      <w:r>
        <w:t xml:space="preserve">VII. Conclusion</w:t>
      </w:r>
    </w:p>
    <w:p>
      <w:pPr>
        <w:pStyle w:val="FirstParagraph"/>
      </w:pPr>
      <w:r>
        <w:t xml:space="preserve">The Q3 2024 Sales Report confirms that our architectural practice has firmly established itself as a market leader in Sri Lanka Colombo. By centering our sales approach around the unique demands of Colombo’s evolving urban environment—prioritizing sustainability, regulatory agility, and local partnerships—we have secured projects with both commercial viability and social impact. The role of the</w:t>
      </w:r>
      <w:r>
        <w:t xml:space="preserve"> </w:t>
      </w:r>
      <w:r>
        <w:rPr>
          <w:bCs/>
          <w:b/>
        </w:rPr>
        <w:t xml:space="preserve">Architect</w:t>
      </w:r>
      <w:r>
        <w:t xml:space="preserve"> </w:t>
      </w:r>
      <w:r>
        <w:t xml:space="preserve">in this success cannot be overstated: our team’s deep understanding of Sri Lankan context transformed design proposals into compelling client solutions. As Colombo transitions toward resilient, high-density urbanism, our practice is uniquely positioned to shape its future through innovative architecture that serves both business objectives and community needs. We project 20-25% annual growth in 2025, contingent on sustained execution of these strategies within the Sri Lanka Colombo market.</w:t>
      </w:r>
    </w:p>
    <w:p>
      <w:pPr>
        <w:pStyle w:val="BodyText"/>
      </w:pPr>
      <w:r>
        <w:rPr>
          <w:bCs/>
          <w:b/>
        </w:rPr>
        <w:t xml:space="preserve">Prepared By:</w:t>
      </w:r>
      <w:r>
        <w:t xml:space="preserve"> </w:t>
      </w:r>
      <w:r>
        <w:t xml:space="preserve">Anura Fernando, Director of Commercial Development |</w:t>
      </w:r>
      <w:r>
        <w:t xml:space="preserve"> </w:t>
      </w:r>
      <w:r>
        <w:rPr>
          <w:bCs/>
          <w:b/>
        </w:rPr>
        <w:t xml:space="preserve">Architectural Practice Sri Lanka</w:t>
      </w:r>
    </w:p>
    <w:p>
      <w:pPr>
        <w:pStyle w:val="BodyText"/>
      </w:pPr>
      <w:r>
        <w:rPr>
          <w:iCs/>
          <w:i/>
        </w:rPr>
        <w:t xml:space="preserve">"Designing for Colombo’s tomorrow,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Architectural Practice Performance in Sri Lanka Colombo</dc:title>
  <dc:creator/>
  <cp:keywords/>
  <dcterms:created xsi:type="dcterms:W3CDTF">2026-07-21T04:05:33Z</dcterms:created>
  <dcterms:modified xsi:type="dcterms:W3CDTF">2026-07-21T04:05:33Z</dcterms:modified>
</cp:coreProperties>
</file>

<file path=docProps/custom.xml><?xml version="1.0" encoding="utf-8"?>
<Properties xmlns="http://schemas.openxmlformats.org/officeDocument/2006/custom-properties" xmlns:vt="http://schemas.openxmlformats.org/officeDocument/2006/docPropsVTypes"/>
</file>