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7" w:name="X45199271d2e328c0102ee2b45398edaaf6c12b0"/>
    <w:p>
      <w:pPr>
        <w:pStyle w:val="Heading1"/>
      </w:pPr>
      <w:r>
        <w:t xml:space="preserve">Q3 2023 Sales Report: Architectural Service Performance for Khartoum-Based Firm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Firm:</w:t>
      </w:r>
      <w:r>
        <w:t xml:space="preserve"> </w:t>
      </w:r>
      <w:r>
        <w:t xml:space="preserve">Khartoum Architectural Solutions (KAS)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Q3 Sales Report for Khartoum Architectural Solutions (KAS) demonstrates robust growth in architectural service delivery across Sudan Khartoum. Despite regional economic volatility and supply chain challenges, our Architect team secured 18 new contracts valued at $1.25 million USD, exceeding quarterly targets by 14%. This performance underscores the critical demand for expert architectural services within Sudan's rapidly evolving urban landscape, particularly in Khartoum where infrastructure development and sustainable housing initiatives are accelerating. The success directly reflects our strategic focus on aligning Architectural solutions with Khartoum’s unique socio-economic and environmental needs.</w:t>
      </w:r>
    </w:p>
    <w:bookmarkEnd w:id="20"/>
    <w:bookmarkStart w:id="21"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 Change</w:t>
            </w:r>
          </w:p>
        </w:tc>
      </w:tr>
      <w:tr>
        <w:tc>
          <w:tcPr/>
          <w:p>
            <w:pPr>
              <w:pStyle w:val="Compact"/>
              <w:jc w:val="left"/>
            </w:pPr>
            <w:r>
              <w:t xml:space="preserve">Total Revenue from Architectural Services</w:t>
            </w:r>
          </w:p>
        </w:tc>
        <w:tc>
          <w:tcPr/>
          <w:p>
            <w:pPr>
              <w:pStyle w:val="Compact"/>
              <w:jc w:val="left"/>
            </w:pPr>
            <w:r>
              <w:t xml:space="preserve">$1,250,000 USD</w:t>
            </w:r>
          </w:p>
        </w:tc>
        <w:tc>
          <w:tcPr/>
          <w:p>
            <w:pPr>
              <w:pStyle w:val="Compact"/>
              <w:jc w:val="left"/>
            </w:pPr>
            <w:r>
              <w:t xml:space="preserve">$1,096,500 USD</w:t>
            </w:r>
          </w:p>
        </w:tc>
        <w:tc>
          <w:tcPr/>
          <w:p>
            <w:pPr>
              <w:pStyle w:val="Compact"/>
              <w:jc w:val="left"/>
            </w:pPr>
            <w:r>
              <w:t xml:space="preserve">+14.3%</w:t>
            </w:r>
          </w:p>
        </w:tc>
      </w:tr>
      <w:tr>
        <w:tc>
          <w:tcPr/>
          <w:p>
            <w:pPr>
              <w:pStyle w:val="Compact"/>
              <w:jc w:val="left"/>
            </w:pPr>
            <w:r>
              <w:t xml:space="preserve">New Contracts Secured</w:t>
            </w:r>
          </w:p>
        </w:tc>
        <w:tc>
          <w:tcPr/>
          <w:p>
            <w:pPr>
              <w:pStyle w:val="Compact"/>
              <w:jc w:val="left"/>
            </w:pPr>
            <w:r>
              <w:t xml:space="preserve">18</w:t>
            </w:r>
          </w:p>
        </w:tc>
        <w:tc>
          <w:tcPr/>
          <w:p>
            <w:pPr>
              <w:pStyle w:val="Compact"/>
              <w:jc w:val="left"/>
            </w:pPr>
            <w:r>
              <w:t xml:space="preserve">14</w:t>
            </w:r>
          </w:p>
        </w:tc>
        <w:tc>
          <w:tcPr/>
          <w:p>
            <w:pPr>
              <w:pStyle w:val="Compact"/>
              <w:jc w:val="left"/>
            </w:pPr>
            <w:r>
              <w:t xml:space="preserve">+28.6%</w:t>
            </w:r>
          </w:p>
        </w:tc>
      </w:tr>
      <w:tr>
        <w:tc>
          <w:tcPr/>
          <w:p>
            <w:pPr>
              <w:pStyle w:val="Compact"/>
              <w:jc w:val="left"/>
            </w:pPr>
            <w:r>
              <w:t xml:space="preserve">Largest Deal Value (Khartoum Govt. Housing Project)</w:t>
            </w:r>
          </w:p>
        </w:tc>
        <w:tc>
          <w:tcPr/>
          <w:p>
            <w:pPr>
              <w:pStyle w:val="Compact"/>
              <w:jc w:val="left"/>
            </w:pPr>
            <w:r>
              <w:t xml:space="preserve">$350,000 USD</w:t>
            </w:r>
          </w:p>
        </w:tc>
        <w:tc>
          <w:tcPr/>
          <w:p>
            <w:pPr>
              <w:pStyle w:val="Compact"/>
              <w:jc w:val="left"/>
            </w:pPr>
            <w:r>
              <w:t xml:space="preserve">$295,000 USD</w:t>
            </w:r>
          </w:p>
        </w:tc>
        <w:tc>
          <w:tcPr/>
          <w:p>
            <w:pPr>
              <w:pStyle w:val="Compact"/>
              <w:jc w:val="left"/>
            </w:pPr>
            <w:r>
              <w:t xml:space="preserve">+18.7%</w:t>
            </w:r>
          </w:p>
        </w:tc>
      </w:tr>
      <w:tr>
        <w:tc>
          <w:tcPr/>
          <w:p>
            <w:pPr>
              <w:pStyle w:val="Compact"/>
              <w:jc w:val="left"/>
            </w:pPr>
            <w:r>
              <w:t xml:space="preserve">Client Retention Rate (Repeat Architects)</w:t>
            </w:r>
          </w:p>
        </w:tc>
        <w:tc>
          <w:tcPr/>
          <w:p>
            <w:pPr>
              <w:pStyle w:val="Compact"/>
              <w:jc w:val="left"/>
            </w:pPr>
            <w:r>
              <w:t xml:space="preserve">67%</w:t>
            </w:r>
          </w:p>
        </w:tc>
        <w:tc>
          <w:tcPr/>
          <w:p>
            <w:pPr>
              <w:pStyle w:val="Compact"/>
              <w:jc w:val="left"/>
            </w:pPr>
            <w:r>
              <w:t xml:space="preserve">59%</w:t>
            </w:r>
          </w:p>
        </w:tc>
        <w:tc>
          <w:tcPr/>
          <w:p>
            <w:pPr>
              <w:pStyle w:val="Compact"/>
              <w:jc w:val="left"/>
            </w:pPr>
            <w:r>
              <w:t xml:space="preserve">+8.0%</w:t>
            </w:r>
          </w:p>
        </w:tc>
      </w:tr>
    </w:tbl>
    <w:bookmarkEnd w:id="21"/>
    <w:bookmarkStart w:id="22" w:name="Xebdd3066ccc0d697e098300dd81f25d63151446"/>
    <w:p>
      <w:pPr>
        <w:pStyle w:val="Heading2"/>
      </w:pPr>
      <w:r>
        <w:t xml:space="preserve">Regional Sales Analysis: Sudan Khartoum Focus</w:t>
      </w:r>
    </w:p>
    <w:p>
      <w:pPr>
        <w:pStyle w:val="FirstParagraph"/>
      </w:pPr>
      <w:r>
        <w:t xml:space="preserve">The overwhelming majority of our Q3 sales (89%) originated from projects centered in **Sudan Khartoum**, reflecting the city's status as the nation's primary economic and administrative hub. Key drivers include:</w:t>
      </w:r>
    </w:p>
    <w:p>
      <w:pPr>
        <w:numPr>
          <w:ilvl w:val="0"/>
          <w:numId w:val="1001"/>
        </w:numPr>
        <w:pStyle w:val="Compact"/>
      </w:pPr>
      <w:r>
        <w:rPr>
          <w:bCs/>
          <w:b/>
        </w:rPr>
        <w:t xml:space="preserve">Government Infrastructure Projects:</w:t>
      </w:r>
      <w:r>
        <w:t xml:space="preserve"> </w:t>
      </w:r>
      <w:r>
        <w:t xml:space="preserve">The Ministry of Housing secured KAS to design 500-unit affordable housing units in Khartoum North, representing a $350,000 Architect contract. This aligns with Sudan's National Urban Development Strategy, prioritizing Khartoum’s growth.</w:t>
      </w:r>
    </w:p>
    <w:p>
      <w:pPr>
        <w:numPr>
          <w:ilvl w:val="0"/>
          <w:numId w:val="1001"/>
        </w:numPr>
        <w:pStyle w:val="Compact"/>
      </w:pPr>
      <w:r>
        <w:rPr>
          <w:bCs/>
          <w:b/>
        </w:rPr>
        <w:t xml:space="preserve">Commercial Real Estate Boom:</w:t>
      </w:r>
      <w:r>
        <w:t xml:space="preserve"> </w:t>
      </w:r>
      <w:r>
        <w:t xml:space="preserve">42% of new contracts came from private developers expanding retail and mixed-use complexes in Khartoum's Gharb al-Fashir and Omdurman corridors. The Architect team’s expertise in climate-responsive design was pivotal in winning these bids.</w:t>
      </w:r>
    </w:p>
    <w:p>
      <w:pPr>
        <w:numPr>
          <w:ilvl w:val="0"/>
          <w:numId w:val="1001"/>
        </w:numPr>
        <w:pStyle w:val="Compact"/>
      </w:pPr>
      <w:r>
        <w:rPr>
          <w:bCs/>
          <w:b/>
        </w:rPr>
        <w:t xml:space="preserve">Sustainable Architecture Demand:</w:t>
      </w:r>
      <w:r>
        <w:t xml:space="preserve"> </w:t>
      </w:r>
      <w:r>
        <w:t xml:space="preserve">A 32% increase in requests for LEED-certified or passive cooling designs (e.g., the upcoming Khartoum Solar Energy Hub project) highlights the evolving market needs our **Architect** team adeptly addresses.</w:t>
      </w:r>
    </w:p>
    <w:bookmarkEnd w:id="22"/>
    <w:bookmarkStart w:id="23" w:name="architect-team-performance-strategy"/>
    <w:p>
      <w:pPr>
        <w:pStyle w:val="Heading2"/>
      </w:pPr>
      <w:r>
        <w:t xml:space="preserve">Architect Team Performance &amp; Strategy</w:t>
      </w:r>
    </w:p>
    <w:p>
      <w:pPr>
        <w:pStyle w:val="FirstParagraph"/>
      </w:pPr>
      <w:r>
        <w:t xml:space="preserve">The success of this **Sales Report** is intrinsically linked to our specialized **Architect** talent pool. Our Khartoum-based team (12 core architects + 5 project managers) deployed a targeted strategy:</w:t>
      </w:r>
    </w:p>
    <w:p>
      <w:pPr>
        <w:numPr>
          <w:ilvl w:val="0"/>
          <w:numId w:val="1002"/>
        </w:numPr>
        <w:pStyle w:val="Compact"/>
      </w:pPr>
      <w:r>
        <w:rPr>
          <w:bCs/>
          <w:b/>
        </w:rPr>
        <w:t xml:space="preserve">Local Market Intelligence:</w:t>
      </w:r>
      <w:r>
        <w:t xml:space="preserve"> </w:t>
      </w:r>
      <w:r>
        <w:t xml:space="preserve">Deep understanding of Sudan Khartoum’s zoning laws, cultural preferences, and material availability allowed us to tailor proposals precisely.</w:t>
      </w:r>
    </w:p>
    <w:p>
      <w:pPr>
        <w:numPr>
          <w:ilvl w:val="0"/>
          <w:numId w:val="1002"/>
        </w:numPr>
        <w:pStyle w:val="Compact"/>
      </w:pPr>
      <w:r>
        <w:rPr>
          <w:bCs/>
          <w:b/>
        </w:rPr>
        <w:t xml:space="preserve">Value-Based Pricing:</w:t>
      </w:r>
      <w:r>
        <w:t xml:space="preserve"> </w:t>
      </w:r>
      <w:r>
        <w:t xml:space="preserve">Moving beyond hourly billing to project-based fees focused on outcomes (e.g., cost savings via optimized designs), which resonated with Khartoum clients facing inflation pressures.</w:t>
      </w:r>
    </w:p>
    <w:p>
      <w:pPr>
        <w:numPr>
          <w:ilvl w:val="0"/>
          <w:numId w:val="1002"/>
        </w:numPr>
        <w:pStyle w:val="Compact"/>
      </w:pPr>
      <w:r>
        <w:rPr>
          <w:bCs/>
          <w:b/>
        </w:rPr>
        <w:t xml:space="preserve">Cross-Selling Architect Services:</w:t>
      </w:r>
      <w:r>
        <w:t xml:space="preserve"> </w:t>
      </w:r>
      <w:r>
        <w:t xml:space="preserve">Bundling initial design with BIM modeling and post-construction sustainability audits increased average contract value by 22%.</w:t>
      </w:r>
    </w:p>
    <w:p>
      <w:pPr>
        <w:pStyle w:val="FirstParagraph"/>
      </w:pPr>
      <w:r>
        <w:t xml:space="preserve">Notably, the **Architect** team completed all Q3 projects on schedule despite Khartoum’s seasonal flooding challenges, enhancing our reputation for reliability – a key differentiator in Sudan's competitive market.</w:t>
      </w:r>
    </w:p>
    <w:bookmarkEnd w:id="23"/>
    <w:bookmarkStart w:id="24" w:name="X8de40b886c0f8ecd72d490cbf6dfbe8c5dd2a6a"/>
    <w:p>
      <w:pPr>
        <w:pStyle w:val="Heading2"/>
      </w:pPr>
      <w:r>
        <w:t xml:space="preserve">Challenges &amp; Mitigation in Sudan Khartoum Context</w:t>
      </w:r>
    </w:p>
    <w:p>
      <w:pPr>
        <w:pStyle w:val="FirstParagraph"/>
      </w:pPr>
      <w:r>
        <w:t xml:space="preserve">The report acknowledges significant hurdles faced within **Sudan Khartoum**:</w:t>
      </w:r>
    </w:p>
    <w:p>
      <w:pPr>
        <w:numPr>
          <w:ilvl w:val="0"/>
          <w:numId w:val="1003"/>
        </w:numPr>
        <w:pStyle w:val="Compact"/>
      </w:pPr>
      <w:r>
        <w:rPr>
          <w:bCs/>
          <w:b/>
        </w:rPr>
        <w:t xml:space="preserve">Economic Volatility:</w:t>
      </w:r>
      <w:r>
        <w:t xml:space="preserve"> </w:t>
      </w:r>
      <w:r>
        <w:t xml:space="preserve">Currency devaluation impacted client budgeting. *Mitigation:* Implemented flexible payment plans and USD-denominated contracts for 78% of new deals.</w:t>
      </w:r>
    </w:p>
    <w:p>
      <w:pPr>
        <w:numPr>
          <w:ilvl w:val="0"/>
          <w:numId w:val="1003"/>
        </w:numPr>
        <w:pStyle w:val="Compact"/>
      </w:pPr>
      <w:r>
        <w:rPr>
          <w:bCs/>
          <w:b/>
        </w:rPr>
        <w:t xml:space="preserve">Material Shortages:</w:t>
      </w:r>
      <w:r>
        <w:t xml:space="preserve"> </w:t>
      </w:r>
      <w:r>
        <w:t xml:space="preserve">Critical delays in cement/steel imports affected project timelines. *Mitigation:* The **Architect** team collaborated with local suppliers to source alternatives, minimizing client disruption.</w:t>
      </w:r>
    </w:p>
    <w:p>
      <w:pPr>
        <w:numPr>
          <w:ilvl w:val="0"/>
          <w:numId w:val="1003"/>
        </w:numPr>
        <w:pStyle w:val="Compact"/>
      </w:pPr>
      <w:r>
        <w:rPr>
          <w:bCs/>
          <w:b/>
        </w:rPr>
        <w:t xml:space="preserve">Talent Retention:</w:t>
      </w:r>
      <w:r>
        <w:t xml:space="preserve"> </w:t>
      </w:r>
      <w:r>
        <w:t xml:space="preserve">Competition for skilled Khartoum architects intensified. *Mitigation:* Launched a "Khartoum Architect Advancement Program" with mentorship and higher local market-competitive salaries.</w:t>
      </w:r>
    </w:p>
    <w:bookmarkEnd w:id="24"/>
    <w:bookmarkStart w:id="25" w:name="q4-outlook-strategic-recommendations"/>
    <w:p>
      <w:pPr>
        <w:pStyle w:val="Heading2"/>
      </w:pPr>
      <w:r>
        <w:t xml:space="preserve">Q4 Outlook &amp; Strategic Recommendations</w:t>
      </w:r>
    </w:p>
    <w:p>
      <w:pPr>
        <w:pStyle w:val="FirstParagraph"/>
      </w:pPr>
      <w:r>
        <w:t xml:space="preserve">Building on Q3 momentum, KAS projects **$1.5M in sales** for Q4 2023, driven by two major Khartoum contracts: a $600K public hospital design and a $450K private university campus expansion. To sustain growth:</w:t>
      </w:r>
    </w:p>
    <w:p>
      <w:pPr>
        <w:numPr>
          <w:ilvl w:val="0"/>
          <w:numId w:val="1004"/>
        </w:numPr>
        <w:pStyle w:val="Compact"/>
      </w:pPr>
      <w:r>
        <w:rPr>
          <w:bCs/>
          <w:b/>
        </w:rPr>
        <w:t xml:space="preserve">Deepen Khartoum Market Penetration:</w:t>
      </w:r>
      <w:r>
        <w:t xml:space="preserve"> </w:t>
      </w:r>
      <w:r>
        <w:t xml:space="preserve">Target municipal authorities on climate-resilient urban planning projects identified in Sudan's 2030 Vision.</w:t>
      </w:r>
    </w:p>
    <w:p>
      <w:pPr>
        <w:numPr>
          <w:ilvl w:val="0"/>
          <w:numId w:val="1004"/>
        </w:numPr>
        <w:pStyle w:val="Compact"/>
      </w:pPr>
      <w:r>
        <w:rPr>
          <w:bCs/>
          <w:b/>
        </w:rPr>
        <w:t xml:space="preserve">Enhance Architect Digital Tools:</w:t>
      </w:r>
      <w:r>
        <w:t xml:space="preserve"> </w:t>
      </w:r>
      <w:r>
        <w:t xml:space="preserve">Invest in localized BIM software to improve efficiency for **Architect** teams serving complex Khartoum sites.</w:t>
      </w:r>
    </w:p>
    <w:p>
      <w:pPr>
        <w:numPr>
          <w:ilvl w:val="0"/>
          <w:numId w:val="1004"/>
        </w:numPr>
        <w:pStyle w:val="Compact"/>
      </w:pPr>
      <w:r>
        <w:rPr>
          <w:bCs/>
          <w:b/>
        </w:rPr>
        <w:t xml:space="preserve">Expand Rural Architect Partnerships:</w:t>
      </w:r>
      <w:r>
        <w:t xml:space="preserve"> </w:t>
      </w:r>
      <w:r>
        <w:t xml:space="preserve">Leverage Khartoum headquarters to offer design services to regional projects (e.g., Kassala, Wad Madani), diversifying revenue beyond the capital.</w:t>
      </w:r>
    </w:p>
    <w:bookmarkEnd w:id="25"/>
    <w:bookmarkStart w:id="26" w:name="X995c7c202dac89d7f1a87b436ff4c22e7cf5f8e"/>
    <w:p>
      <w:pPr>
        <w:pStyle w:val="Heading2"/>
      </w:pPr>
      <w:r>
        <w:t xml:space="preserve">Conclusion: Architecting Success in Sudan Khartoum</w:t>
      </w:r>
    </w:p>
    <w:p>
      <w:pPr>
        <w:pStyle w:val="FirstParagraph"/>
      </w:pPr>
      <w:r>
        <w:t xml:space="preserve">This Q3 **Sales Report** unequivocally proves that specialized **Architect** expertise is not just valuable but essential to Sudan’s development trajectory, particularly in Khartoum. Our team’s ability to translate local context—addressing flood resilience, cultural needs, and economic realities—into compelling design solutions directly fueled revenue growth. As Sudan Khartoum undergoes its most significant urban transformation in decades, KAS is positioned as the trusted **Architect** partner for sustainable, scalable development. The data confirms that our focus on delivering measurable value through architectural excellence remains the cornerstone of our success in this critical market. We project continued leadership growth for the **Architect** team across Sudan Khartoum, with strategic initiatives directly aligned to national priorities and local demand.</w:t>
      </w:r>
    </w:p>
    <w:p>
      <w:pPr>
        <w:pStyle w:val="BodyText"/>
      </w:pPr>
      <w:r>
        <w:rPr>
          <w:bCs/>
          <w:b/>
        </w:rPr>
        <w:t xml:space="preserve">Prepared By:</w:t>
      </w:r>
      <w:r>
        <w:t xml:space="preserve"> </w:t>
      </w:r>
      <w:r>
        <w:t xml:space="preserve">Amina Hassan, Director of Sales &amp; Business Development</w:t>
      </w:r>
      <w:r>
        <w:br/>
      </w:r>
      <w:r>
        <w:rPr>
          <w:bCs/>
          <w:b/>
        </w:rPr>
        <w:t xml:space="preserve">Contact:</w:t>
      </w:r>
      <w:r>
        <w:t xml:space="preserve"> </w:t>
      </w:r>
      <w:r>
        <w:t xml:space="preserve">amina.hassan@khartoumarchitects.com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Sudan Khartoum</dc:title>
  <dc:creator/>
  <dc:language>en</dc:language>
  <cp:keywords/>
  <dcterms:created xsi:type="dcterms:W3CDTF">2026-07-23T05:12:17Z</dcterms:created>
  <dcterms:modified xsi:type="dcterms:W3CDTF">2026-07-23T05:12:17Z</dcterms:modified>
</cp:coreProperties>
</file>

<file path=docProps/custom.xml><?xml version="1.0" encoding="utf-8"?>
<Properties xmlns="http://schemas.openxmlformats.org/officeDocument/2006/custom-properties" xmlns:vt="http://schemas.openxmlformats.org/officeDocument/2006/docPropsVTypes"/>
</file>