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f3c54c752d7bb1051117e80bbe82f552f1eefb8"/>
    <w:p>
      <w:pPr>
        <w:pStyle w:val="Heading1"/>
      </w:pPr>
      <w:r>
        <w:t xml:space="preserve">Quarterly Sales Report: Architectural Services Performance in Dar es Salaam, Tanzania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Stakeholders</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Sales &amp; Business Development Department, East Africa Division</w:t>
      </w:r>
    </w:p>
    <w:bookmarkStart w:id="20" w:name="executive-summary"/>
    <w:p>
      <w:pPr>
        <w:pStyle w:val="Heading2"/>
      </w:pPr>
      <w:r>
        <w:t xml:space="preserve">Executive Summary</w:t>
      </w:r>
    </w:p>
    <w:p>
      <w:pPr>
        <w:pStyle w:val="FirstParagraph"/>
      </w:pPr>
      <w:r>
        <w:t xml:space="preserve">This report details the performance of our architectural services sales operations within the Dar es Salaam metropolitan market during Q3 2023. Despite regional economic headwinds and infrastructure challenges specific to Tanzania, our team achieved a remarkable 18% year-over-year growth in signed architectural service contracts, securing $4.75 million in new business. This success underscores the critical demand for locally attuned architectural expertise within Dar es Salaam's rapidly expanding urban landscape. The sales strategy focused on leveraging deep contextual knowledge of Tanzanian building codes, climate-responsive design principles, and established relationships with key municipal authorities and real estate developers across Tanzania's commercial capital.</w:t>
      </w:r>
    </w:p>
    <w:bookmarkEnd w:id="20"/>
    <w:bookmarkStart w:id="21" w:name="Xd2be2977f22f9ea486031ed5c2203d7d507dbfd"/>
    <w:p>
      <w:pPr>
        <w:pStyle w:val="Heading2"/>
      </w:pPr>
      <w:r>
        <w:t xml:space="preserve">Market Context: Dar es Salaam as the Architectural Epicenter</w:t>
      </w:r>
    </w:p>
    <w:p>
      <w:pPr>
        <w:pStyle w:val="FirstParagraph"/>
      </w:pPr>
      <w:r>
        <w:t xml:space="preserve">Dar es Salaam remains the undisputed engine of Tanzania's construction and development sector. As the nation's primary economic hub, it attracts over 70% of all major real estate investments. The city faces unprecedented pressure for quality infrastructure: a burgeoning population (exceeding 6 million), rapid urbanization, and ambitious government initiatives like the</w:t>
      </w:r>
      <w:r>
        <w:t xml:space="preserve"> </w:t>
      </w:r>
      <w:r>
        <w:rPr>
          <w:iCs/>
          <w:i/>
        </w:rPr>
        <w:t xml:space="preserve">Urban Development Master Plan for Dar es Salaam (2045)</w:t>
      </w:r>
      <w:r>
        <w:t xml:space="preserve"> </w:t>
      </w:r>
      <w:r>
        <w:t xml:space="preserve">and ongoing projects such as the Dar es Salaam Coastal Road Improvement Project. This creates an exceptionally fertile market for specialized architectural services that understand Tanzania's unique environmental, cultural, and regulatory environment. The demand is not merely for drawings; it's for architects who grasp the nuances of Tanzanian site conditions – from monsoon-season drainage challenges to local material sourcing logistics and community engagement practices in districts like Kigamboni or Ubungo.</w:t>
      </w:r>
    </w:p>
    <w:bookmarkEnd w:id="21"/>
    <w:bookmarkStart w:id="22" w:name="q3-2023-sales-performance-key-metrics"/>
    <w:p>
      <w:pPr>
        <w:pStyle w:val="Heading2"/>
      </w:pPr>
      <w:r>
        <w:t xml:space="preserve">Q3 2023 Sales Performance: Key Metrics</w:t>
      </w:r>
    </w:p>
    <w:p>
      <w:pPr>
        <w:pStyle w:val="FirstParagraph"/>
      </w:pPr>
      <w:r>
        <w:t xml:space="preserve">Our sales team, deeply embedded within the Dar es Salaam business ecosystem, delivered significant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Architectural Service Contracts Signed</w:t>
            </w:r>
          </w:p>
        </w:tc>
        <w:tc>
          <w:tcPr/>
          <w:p>
            <w:pPr>
              <w:pStyle w:val="Compact"/>
              <w:jc w:val="left"/>
            </w:pPr>
            <w:r>
              <w:t xml:space="preserve">17 Contracts</w:t>
            </w:r>
          </w:p>
        </w:tc>
        <w:tc>
          <w:tcPr/>
          <w:p>
            <w:pPr>
              <w:pStyle w:val="Compact"/>
              <w:jc w:val="left"/>
            </w:pPr>
            <w:r>
              <w:t xml:space="preserve">14 Contracts</w:t>
            </w:r>
          </w:p>
        </w:tc>
        <w:tc>
          <w:tcPr/>
          <w:p>
            <w:pPr>
              <w:pStyle w:val="Compact"/>
              <w:jc w:val="left"/>
            </w:pPr>
            <w:r>
              <w:t xml:space="preserve">+21.4%</w:t>
            </w:r>
          </w:p>
        </w:tc>
      </w:tr>
      <w:tr>
        <w:tc>
          <w:tcPr/>
          <w:p>
            <w:pPr>
              <w:pStyle w:val="Compact"/>
              <w:jc w:val="left"/>
            </w:pPr>
            <w:r>
              <w:t xml:space="preserve">Total Contract Value (USD)</w:t>
            </w:r>
          </w:p>
        </w:tc>
        <w:tc>
          <w:tcPr/>
          <w:p>
            <w:pPr>
              <w:pStyle w:val="Compact"/>
              <w:jc w:val="left"/>
            </w:pPr>
            <w:r>
              <w:t xml:space="preserve">$4,750,000</w:t>
            </w:r>
          </w:p>
        </w:tc>
        <w:tc>
          <w:tcPr/>
          <w:p>
            <w:pPr>
              <w:pStyle w:val="Compact"/>
              <w:jc w:val="left"/>
            </w:pPr>
            <w:r>
              <w:t xml:space="preserve">$4,025,000</w:t>
            </w:r>
          </w:p>
        </w:tc>
        <w:tc>
          <w:tcPr/>
          <w:p>
            <w:pPr>
              <w:pStyle w:val="Compact"/>
              <w:jc w:val="left"/>
            </w:pPr>
            <w:r>
              <w:t xml:space="preserve">+18.1%</w:t>
            </w:r>
          </w:p>
        </w:tc>
      </w:tr>
      <w:tr>
        <w:tc>
          <w:tcPr/>
          <w:p>
            <w:pPr>
              <w:pStyle w:val="Compact"/>
              <w:jc w:val="left"/>
            </w:pPr>
            <w:r>
              <w:t xml:space="preserve">Key Client Segments:</w:t>
            </w:r>
          </w:p>
        </w:tc>
        <w:tc>
          <w:tcPr>
            <w:gridSpan w:val="3"/>
          </w:tcPr>
          <w:p>
            <w:pPr>
              <w:pStyle w:val="Compact"/>
            </w:pPr>
          </w:p>
        </w:tc>
      </w:tr>
      <w:tr>
        <w:tc>
          <w:tcPr/>
          <w:p>
            <w:pPr>
              <w:pStyle w:val="Compact"/>
              <w:jc w:val="left"/>
            </w:pPr>
            <w:r>
              <w:t xml:space="preserve">   - Private Real Estate Developers</w:t>
            </w:r>
          </w:p>
        </w:tc>
        <w:tc>
          <w:tcPr/>
          <w:p>
            <w:pPr>
              <w:pStyle w:val="Compact"/>
              <w:jc w:val="left"/>
            </w:pPr>
            <w:r>
              <w:t xml:space="preserve">$2,850,000 (61.9%)</w:t>
            </w:r>
          </w:p>
        </w:tc>
        <w:tc>
          <w:tcPr/>
          <w:p>
            <w:pPr>
              <w:pStyle w:val="Compact"/>
              <w:jc w:val="left"/>
            </w:pPr>
            <w:r>
              <w:t xml:space="preserve">$2,355,477 (61.3%)</w:t>
            </w:r>
          </w:p>
        </w:tc>
        <w:tc>
          <w:tcPr/>
          <w:p>
            <w:pPr>
              <w:pStyle w:val="Compact"/>
              <w:jc w:val="left"/>
            </w:pPr>
            <w:r>
              <w:t xml:space="preserve">+21.4%</w:t>
            </w:r>
          </w:p>
        </w:tc>
      </w:tr>
      <w:tr>
        <w:tc>
          <w:tcPr/>
          <w:p>
            <w:pPr>
              <w:pStyle w:val="Compact"/>
              <w:jc w:val="left"/>
            </w:pPr>
            <w:r>
              <w:t xml:space="preserve">   - Government/Parastatal Entities (e.g., TANROADS, Dar es Salaam City Council)</w:t>
            </w:r>
          </w:p>
        </w:tc>
        <w:tc>
          <w:tcPr/>
          <w:p>
            <w:pPr>
              <w:pStyle w:val="Compact"/>
              <w:jc w:val="left"/>
            </w:pPr>
            <w:r>
              <w:t xml:space="preserve">$1,255,432 (26.4%)</w:t>
            </w:r>
          </w:p>
        </w:tc>
        <w:tc>
          <w:tcPr/>
          <w:p>
            <w:pPr>
              <w:pStyle w:val="Compact"/>
              <w:jc w:val="left"/>
            </w:pPr>
            <w:r>
              <w:t xml:space="preserve">$987,000 (25.7%)</w:t>
            </w:r>
          </w:p>
        </w:tc>
        <w:tc>
          <w:tcPr/>
          <w:p>
            <w:pPr>
              <w:pStyle w:val="Compact"/>
              <w:jc w:val="left"/>
            </w:pPr>
            <w:r>
              <w:t xml:space="preserve">+27.2%</w:t>
            </w:r>
          </w:p>
        </w:tc>
      </w:tr>
      <w:tr>
        <w:tc>
          <w:tcPr/>
          <w:p>
            <w:pPr>
              <w:pStyle w:val="Compact"/>
              <w:jc w:val="left"/>
            </w:pPr>
            <w:r>
              <w:t xml:space="preserve">   - International NGOs/Development Partners</w:t>
            </w:r>
          </w:p>
        </w:tc>
        <w:tc>
          <w:tcPr/>
          <w:p>
            <w:pPr>
              <w:pStyle w:val="Compact"/>
              <w:jc w:val="left"/>
            </w:pPr>
            <w:r>
              <w:t xml:space="preserve">$644,568 (13.6%)</w:t>
            </w:r>
          </w:p>
        </w:tc>
        <w:tc>
          <w:tcPr/>
          <w:p>
            <w:pPr>
              <w:pStyle w:val="Compact"/>
              <w:jc w:val="left"/>
            </w:pPr>
            <w:r>
              <w:t xml:space="preserve">$712,923 (18.7%)</w:t>
            </w:r>
          </w:p>
        </w:tc>
        <w:tc>
          <w:tcPr/>
          <w:p>
            <w:pPr>
              <w:pStyle w:val="Compact"/>
              <w:jc w:val="left"/>
            </w:pPr>
            <w:r>
              <w:t xml:space="preserve">-9.6%</w:t>
            </w:r>
          </w:p>
        </w:tc>
      </w:tr>
    </w:tbl>
    <w:bookmarkEnd w:id="22"/>
    <w:bookmarkStart w:id="23" w:name="Xa44434d5d73614f6e55e32a9fe05ae9d2123ebc"/>
    <w:p>
      <w:pPr>
        <w:pStyle w:val="Heading2"/>
      </w:pPr>
      <w:r>
        <w:t xml:space="preserve">Notable Projects Secured in Dar es Salaam Market</w:t>
      </w:r>
    </w:p>
    <w:p>
      <w:pPr>
        <w:pStyle w:val="FirstParagraph"/>
      </w:pPr>
      <w:r>
        <w:t xml:space="preserve">The Q3 success was driven by strategic wins that highlight our architectural value proposition:</w:t>
      </w:r>
    </w:p>
    <w:p>
      <w:pPr>
        <w:numPr>
          <w:ilvl w:val="0"/>
          <w:numId w:val="1001"/>
        </w:numPr>
        <w:pStyle w:val="Compact"/>
      </w:pPr>
      <w:r>
        <w:rPr>
          <w:bCs/>
          <w:b/>
        </w:rPr>
        <w:t xml:space="preserve">Kigamboni Coastal Residential Complex (Client: Prime Horizon Developments):</w:t>
      </w:r>
      <w:r>
        <w:t xml:space="preserve"> </w:t>
      </w:r>
      <w:r>
        <w:t xml:space="preserve">$1.8 million contract for full architectural design, planning, and compliance management for a 500-unit sustainable housing project addressing Dar es Salaam's critical housing deficit. Our team's deep understanding of coastal construction standards in Tanzania was pivotal.</w:t>
      </w:r>
    </w:p>
    <w:p>
      <w:pPr>
        <w:numPr>
          <w:ilvl w:val="0"/>
          <w:numId w:val="1001"/>
        </w:numPr>
        <w:pStyle w:val="Compact"/>
      </w:pPr>
      <w:r>
        <w:rPr>
          <w:bCs/>
          <w:b/>
        </w:rPr>
        <w:t xml:space="preserve">Uongozi Ward Community Health Center (Client: Dar es Salaam City Council):</w:t>
      </w:r>
      <w:r>
        <w:t xml:space="preserve"> </w:t>
      </w:r>
      <w:r>
        <w:t xml:space="preserve">$485,000 contract under the Government's "Health for All" initiative. This project required navigating specific Tanzanian municipal approval processes and incorporating community feedback – an area where our local architectural team excelled.</w:t>
      </w:r>
    </w:p>
    <w:p>
      <w:pPr>
        <w:numPr>
          <w:ilvl w:val="0"/>
          <w:numId w:val="1001"/>
        </w:numPr>
        <w:pStyle w:val="Compact"/>
      </w:pPr>
      <w:r>
        <w:rPr>
          <w:bCs/>
          <w:b/>
        </w:rPr>
        <w:t xml:space="preserve">Serengeti Business Park Phase III (Client: East African Commercial Properties Ltd.):</w:t>
      </w:r>
      <w:r>
        <w:t xml:space="preserve"> </w:t>
      </w:r>
      <w:r>
        <w:t xml:space="preserve">$950,000 for architectural services on a mixed-use development in the expanding industrial zone. Our proposal emphasized cost-effective, climate-responsive design using locally available materials – a key selling point for Tanzanian developers.</w:t>
      </w:r>
    </w:p>
    <w:bookmarkEnd w:id="23"/>
    <w:bookmarkStart w:id="24" w:name="X197904ecd522bcec7f982af9878bd4cafa5b5e1"/>
    <w:p>
      <w:pPr>
        <w:pStyle w:val="Heading2"/>
      </w:pPr>
      <w:r>
        <w:t xml:space="preserve">Challenges Encountered in Tanzania Dar es Salaam</w:t>
      </w:r>
    </w:p>
    <w:p>
      <w:pPr>
        <w:pStyle w:val="FirstParagraph"/>
      </w:pPr>
      <w:r>
        <w:t xml:space="preserve">Operating within Dar es Salaam's dynamic market presented specific challenges requiring adaptive sales strategies:</w:t>
      </w:r>
    </w:p>
    <w:p>
      <w:pPr>
        <w:numPr>
          <w:ilvl w:val="0"/>
          <w:numId w:val="1002"/>
        </w:numPr>
        <w:pStyle w:val="Compact"/>
      </w:pPr>
      <w:r>
        <w:rPr>
          <w:bCs/>
          <w:b/>
        </w:rPr>
        <w:t xml:space="preserve">Supply Chain &amp; Material Delays:</w:t>
      </w:r>
      <w:r>
        <w:t xml:space="preserve"> </w:t>
      </w:r>
      <w:r>
        <w:t xml:space="preserve">Importation of specialized building materials faced significant port congestion and customs delays at Mombasa/Dar es Salaam ports, impacting project timelines. Our sales team proactively communicated this to clients and proposed alternative local material solutions, turning potential deal-breakers into opportunities for value-added advice.</w:t>
      </w:r>
    </w:p>
    <w:p>
      <w:pPr>
        <w:numPr>
          <w:ilvl w:val="0"/>
          <w:numId w:val="1002"/>
        </w:numPr>
        <w:pStyle w:val="Compact"/>
      </w:pPr>
      <w:r>
        <w:rPr>
          <w:bCs/>
          <w:b/>
        </w:rPr>
        <w:t xml:space="preserve">Regulatory Complexity:</w:t>
      </w:r>
      <w:r>
        <w:t xml:space="preserve"> </w:t>
      </w:r>
      <w:r>
        <w:t xml:space="preserve">Navigating Tanzania's building codes (e.g., the Building Standards Act) and municipal approvals (Dar es Salaam City Council, TANROADS) requires specialized knowledge. Our architectural sales consultants leveraged their technical expertise to streamline client expectations and reduce approval lead times.</w:t>
      </w:r>
    </w:p>
    <w:p>
      <w:pPr>
        <w:numPr>
          <w:ilvl w:val="0"/>
          <w:numId w:val="1002"/>
        </w:numPr>
        <w:pStyle w:val="Compact"/>
      </w:pPr>
      <w:r>
        <w:rPr>
          <w:bCs/>
          <w:b/>
        </w:rPr>
        <w:t xml:space="preserve">Economic Sensitivity:</w:t>
      </w:r>
      <w:r>
        <w:t xml:space="preserve"> </w:t>
      </w:r>
      <w:r>
        <w:t xml:space="preserve">While demand remains strong, some developers exhibited heightened budget sensitivity due to currency fluctuations. We countered this by emphasizing the long-term cost savings of well-designed, durable architecture – a core service proposition for Tanzanian clients.</w:t>
      </w:r>
    </w:p>
    <w:bookmarkEnd w:id="24"/>
    <w:bookmarkStart w:id="25" w:name="Xf99210918227c79ffeff502679fd2ff482c21f3"/>
    <w:p>
      <w:pPr>
        <w:pStyle w:val="Heading2"/>
      </w:pPr>
      <w:r>
        <w:t xml:space="preserve">Strategic Recommendations for Q4 2023 &amp; Beyond</w:t>
      </w:r>
    </w:p>
    <w:p>
      <w:pPr>
        <w:pStyle w:val="FirstParagraph"/>
      </w:pPr>
      <w:r>
        <w:t xml:space="preserve">To capitalize on Dar es Salaam's architectural market potential and sustain growth, we recommend:</w:t>
      </w:r>
    </w:p>
    <w:p>
      <w:pPr>
        <w:numPr>
          <w:ilvl w:val="0"/>
          <w:numId w:val="1003"/>
        </w:numPr>
        <w:pStyle w:val="Compact"/>
      </w:pPr>
      <w:r>
        <w:rPr>
          <w:bCs/>
          <w:b/>
        </w:rPr>
        <w:t xml:space="preserve">Deepen Government Partnership Program:</w:t>
      </w:r>
      <w:r>
        <w:t xml:space="preserve"> </w:t>
      </w:r>
      <w:r>
        <w:t xml:space="preserve">Dedicate sales resources specifically to build stronger relationships with the Tanzania Housing Corporation (THC) and Dar es Salaam City Council's Urban Development Division. Focus on securing contracts for their high-priority affordable housing and infrastructure projects.</w:t>
      </w:r>
    </w:p>
    <w:p>
      <w:pPr>
        <w:numPr>
          <w:ilvl w:val="0"/>
          <w:numId w:val="1003"/>
        </w:numPr>
        <w:pStyle w:val="Compact"/>
      </w:pPr>
      <w:r>
        <w:rPr>
          <w:bCs/>
          <w:b/>
        </w:rPr>
        <w:t xml:space="preserve">Promote Climate-Responsive Design Expertise:</w:t>
      </w:r>
      <w:r>
        <w:t xml:space="preserve"> </w:t>
      </w:r>
      <w:r>
        <w:t xml:space="preserve">Develop targeted marketing materials showcasing our successful implementation of passive cooling, rainwater harvesting, and flood-resilient design – critical needs in Dar es Salaam's tropical climate. This is a key differentiator from generic foreign architectural firms.</w:t>
      </w:r>
    </w:p>
    <w:p>
      <w:pPr>
        <w:numPr>
          <w:ilvl w:val="0"/>
          <w:numId w:val="1003"/>
        </w:numPr>
        <w:pStyle w:val="Compact"/>
      </w:pPr>
      <w:r>
        <w:rPr>
          <w:bCs/>
          <w:b/>
        </w:rPr>
        <w:t xml:space="preserve">Invest in Local Talent &amp; Relationships:</w:t>
      </w:r>
      <w:r>
        <w:t xml:space="preserve"> </w:t>
      </w:r>
      <w:r>
        <w:t xml:space="preserve">Continue aggressive recruitment of Tanzanian-qualified architects and draughtsmen within Dar es Salaam. Their local networks and understanding of community dynamics are invaluable for sales conversion, especially in new residential suburbs like Msasani and Mbagala.</w:t>
      </w:r>
    </w:p>
    <w:p>
      <w:pPr>
        <w:numPr>
          <w:ilvl w:val="0"/>
          <w:numId w:val="1003"/>
        </w:numPr>
        <w:pStyle w:val="Compact"/>
      </w:pPr>
      <w:r>
        <w:rPr>
          <w:bCs/>
          <w:b/>
        </w:rPr>
        <w:t xml:space="preserve">Expand into Sustainable Certification Services:</w:t>
      </w:r>
      <w:r>
        <w:t xml:space="preserve"> </w:t>
      </w:r>
      <w:r>
        <w:t xml:space="preserve">Partner with international bodies (e.g., LEED, Green Building Council Tanzania) to offer certification support. This emerging market segment within Tanzania Dar es Salaam is experiencing strong interest from premium developers.</w:t>
      </w:r>
    </w:p>
    <w:bookmarkEnd w:id="25"/>
    <w:bookmarkStart w:id="26" w:name="conclusion"/>
    <w:p>
      <w:pPr>
        <w:pStyle w:val="Heading2"/>
      </w:pPr>
      <w:r>
        <w:t xml:space="preserve">Conclusion</w:t>
      </w:r>
    </w:p>
    <w:p>
      <w:pPr>
        <w:pStyle w:val="FirstParagraph"/>
      </w:pPr>
      <w:r>
        <w:t xml:space="preserve">The Q3 2023 results solidify our position as a leading provider of high-value architectural services within Tanzania's most critical market, Dar es Salaam. Our success stems directly from our commitment to understanding the Tanzanian context – not just as a location, but as an intricate ecosystem where effective architecture is inseparable from cultural sensitivity and practical local knowledge. The 18% growth in sales revenue demonstrates tangible client confidence in our ability to deliver solutions that work within Tanzania's unique realities. Moving forward, we are confident that by doubling down on our hyper-local expertise, regulatory mastery, and climate-responsive design philosophy, the Architectural Sales team will continue to capture a significant and sustainable share of Dar es Salaam's booming development market. The future for architectural services in Tanzania Dar es Salaam is not just bright; it is fundamentally built upon the foundation of locally relevant expertise.</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 Dar es Salaam, Tanzania</dc:title>
  <dc:creator/>
  <dc:language>en</dc:language>
  <cp:keywords/>
  <dcterms:created xsi:type="dcterms:W3CDTF">2025-12-11T06:22:53Z</dcterms:created>
  <dcterms:modified xsi:type="dcterms:W3CDTF">2025-12-11T06:22:53Z</dcterms:modified>
</cp:coreProperties>
</file>

<file path=docProps/custom.xml><?xml version="1.0" encoding="utf-8"?>
<Properties xmlns="http://schemas.openxmlformats.org/officeDocument/2006/custom-properties" xmlns:vt="http://schemas.openxmlformats.org/officeDocument/2006/docPropsVTypes"/>
</file>