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Performance</w:t>
      </w:r>
      <w:r>
        <w:t xml:space="preserve"> </w:t>
      </w:r>
      <w:r>
        <w:t xml:space="preserve">in</w:t>
      </w:r>
      <w:r>
        <w:t xml:space="preserve"> </w:t>
      </w:r>
      <w:r>
        <w:t xml:space="preserve">Istanbul,</w:t>
      </w:r>
      <w:r>
        <w:t xml:space="preserve"> </w:t>
      </w:r>
      <w:r>
        <w:t xml:space="preserve">Turkey</w:t>
      </w:r>
    </w:p>
    <w:bookmarkStart w:id="27" w:name="X9a396198f9e4d42d0c964f981172a6e219fc6d9"/>
    <w:p>
      <w:pPr>
        <w:pStyle w:val="Heading1"/>
      </w:pPr>
      <w:r>
        <w:t xml:space="preserve">Q3 2024 Sales Performance Report: Architectural Services Market Analysis &amp; Strategy for Istanbul, Turkey</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Istanbul, Turkey</w:t>
      </w:r>
    </w:p>
    <w:bookmarkStart w:id="20" w:name="i.-executive-summary"/>
    <w:p>
      <w:pPr>
        <w:pStyle w:val="Heading2"/>
      </w:pPr>
      <w:r>
        <w:t xml:space="preserve">I. Executive Summary</w:t>
      </w:r>
    </w:p>
    <w:p>
      <w:pPr>
        <w:pStyle w:val="FirstParagraph"/>
      </w:pPr>
      <w:r>
        <w:t xml:space="preserve">The Q3 2024 Sales Report for Architectural Services in Istanbul, Turkey demonstrates robust performance despite regional economic volatility. Our firm achieved a 17% year-over-year growth in signed contracts (totaling ₺87.5M), with architectural design and urban planning services driving 82% of new revenue streams. This success is directly attributable to our specialized</w:t>
      </w:r>
      <w:r>
        <w:t xml:space="preserve"> </w:t>
      </w:r>
      <w:r>
        <w:rPr>
          <w:iCs/>
          <w:i/>
        </w:rPr>
        <w:t xml:space="preserve">Architect</w:t>
      </w:r>
      <w:r>
        <w:t xml:space="preserve">-centric sales strategy tailored to Istanbul's unique market demands, including heritage-sensitive renovations, high-rise sustainable developments, and infrastructure projects linked to the Istanbul Canal initiative. The report details key performance indicators, regional market dynamics, and actionable recommendations for sustaining growth in Turkey's most competitive architectural market.</w:t>
      </w:r>
    </w:p>
    <w:bookmarkEnd w:id="20"/>
    <w:bookmarkStart w:id="21" w:name="Xef629f28a9472b3a19911d3d631aa9779be4656"/>
    <w:p>
      <w:pPr>
        <w:pStyle w:val="Heading2"/>
      </w:pPr>
      <w:r>
        <w:t xml:space="preserve">II. Market Context: Why Architecture Drives Sales in Istanbul</w:t>
      </w:r>
    </w:p>
    <w:p>
      <w:pPr>
        <w:pStyle w:val="FirstParagraph"/>
      </w:pPr>
      <w:r>
        <w:t xml:space="preserve">Istanbul represents Turkey's epicenter of architectural innovation and commercial opportunity. As the nation's financial hub and a UNESCO-recognized cultural mosaic, the city demands architects who understand both Ottoman legacy aesthetics and cutting-edge sustainability frameworks (e.g., Turkish Green Building Council standards). This dual requirement creates a high-value sales proposition for firms with certified</w:t>
      </w:r>
      <w:r>
        <w:t xml:space="preserve"> </w:t>
      </w:r>
      <w:r>
        <w:rPr>
          <w:iCs/>
          <w:i/>
        </w:rPr>
        <w:t xml:space="preserve">Architect</w:t>
      </w:r>
      <w:r>
        <w:t xml:space="preserve"> </w:t>
      </w:r>
      <w:r>
        <w:t xml:space="preserve">professionals. In Q3 alone, Istanbul's construction sector grew by 22% (TÜİK data), fueled by:</w:t>
      </w:r>
    </w:p>
    <w:p>
      <w:pPr>
        <w:numPr>
          <w:ilvl w:val="0"/>
          <w:numId w:val="1001"/>
        </w:numPr>
        <w:pStyle w:val="Compact"/>
      </w:pPr>
      <w:r>
        <w:rPr>
          <w:bCs/>
          <w:b/>
        </w:rPr>
        <w:t xml:space="preserve">Post-Pandemic Revival:</w:t>
      </w:r>
      <w:r>
        <w:t xml:space="preserve"> </w:t>
      </w:r>
      <w:r>
        <w:t xml:space="preserve">68% of commercial clients prioritized architectural redesigns to meet new health/safety regulations.</w:t>
      </w:r>
    </w:p>
    <w:p>
      <w:pPr>
        <w:numPr>
          <w:ilvl w:val="0"/>
          <w:numId w:val="1001"/>
        </w:numPr>
        <w:pStyle w:val="Compact"/>
      </w:pPr>
      <w:r>
        <w:rPr>
          <w:bCs/>
          <w:b/>
        </w:rPr>
        <w:t xml:space="preserve">Turkish Government Incentives:</w:t>
      </w:r>
      <w:r>
        <w:t xml:space="preserve"> </w:t>
      </w:r>
      <w:r>
        <w:t xml:space="preserve">Tax breaks for eco-friendly projects (e.g., LEED certification) increased demand for architect-led green building services by 34%.</w:t>
      </w:r>
    </w:p>
    <w:p>
      <w:pPr>
        <w:numPr>
          <w:ilvl w:val="0"/>
          <w:numId w:val="1001"/>
        </w:numPr>
        <w:pStyle w:val="Compact"/>
      </w:pPr>
      <w:r>
        <w:rPr>
          <w:bCs/>
          <w:b/>
        </w:rPr>
        <w:t xml:space="preserve">Heritage Conservation Boom:</w:t>
      </w:r>
      <w:r>
        <w:t xml:space="preserve"> </w:t>
      </w:r>
      <w:r>
        <w:t xml:space="preserve">Over 45 new conservation projects in historic districts (Galata, Sultanahmet) required specialized architectural expertise.</w:t>
      </w:r>
    </w:p>
    <w:bookmarkEnd w:id="21"/>
    <w:bookmarkStart w:id="22" w:name="Xbd806d66fb5faf014819bc4565bc14df862eed7"/>
    <w:p>
      <w:pPr>
        <w:pStyle w:val="Heading2"/>
      </w:pPr>
      <w:r>
        <w:t xml:space="preserve">III. Sales Performance: Architect as the Core Revenue Driver</w:t>
      </w:r>
    </w:p>
    <w:p>
      <w:pPr>
        <w:pStyle w:val="FirstParagraph"/>
      </w:pPr>
      <w:r>
        <w:t xml:space="preserve">The data confirms that our</w:t>
      </w:r>
      <w:r>
        <w:t xml:space="preserve"> </w:t>
      </w:r>
      <w:r>
        <w:rPr>
          <w:iCs/>
          <w:i/>
        </w:rPr>
        <w:t xml:space="preserve">Architect</w:t>
      </w:r>
      <w:r>
        <w:t xml:space="preserve"> </w:t>
      </w:r>
      <w:r>
        <w:t xml:space="preserve">team is the primary sales engine. Unlike generic design firms, we position architects—not sales representatives—as the client-facing value creators:</w:t>
      </w:r>
    </w:p>
    <w:p>
      <w:pPr>
        <w:pStyle w:val="BodyText"/>
      </w:pPr>
      <w:r>
        <w:t xml:space="preserve">Service Category</w:t>
      </w:r>
    </w:p>
    <w:p>
      <w:pPr>
        <w:pStyle w:val="BodyText"/>
      </w:pPr>
      <w:r>
        <w:t xml:space="preserve">Q3 Revenue (₺)</w:t>
      </w:r>
    </w:p>
    <w:p>
      <w:pPr>
        <w:pStyle w:val="BodyText"/>
      </w:pPr>
      <w:r>
        <w:t xml:space="preserve">YoY Growth</w:t>
      </w:r>
    </w:p>
    <w:p>
      <w:pPr>
        <w:pStyle w:val="BodyText"/>
      </w:pPr>
      <w:r>
        <w:t xml:space="preserve">Key Istanbul Projects</w:t>
      </w:r>
    </w:p>
    <w:p>
      <w:pPr>
        <w:pStyle w:val="BodyText"/>
      </w:pPr>
      <w:r>
        <w:t xml:space="preserve">Sustainable Urban Planning</w:t>
      </w:r>
    </w:p>
    <w:p>
      <w:pPr>
        <w:pStyle w:val="BodyText"/>
      </w:pPr>
      <w:r>
        <w:t xml:space="preserve">32.1M</w:t>
      </w:r>
    </w:p>
    <w:p>
      <w:pPr>
        <w:pStyle w:val="BodyText"/>
      </w:pPr>
      <w:r>
        <w:t xml:space="preserve">+29%</w:t>
      </w:r>
    </w:p>
    <w:p>
      <w:pPr>
        <w:pStyle w:val="BodyText"/>
      </w:pPr>
      <w:r>
        <w:t xml:space="preserve">Istanbul Canal Coastal Master Plan; Taksim Park Renovation</w:t>
      </w:r>
    </w:p>
    <w:p>
      <w:pPr>
        <w:pStyle w:val="BodyText"/>
      </w:pPr>
      <w:r>
        <w:t xml:space="preserve">Historic Preservation &amp; Restoration</w:t>
      </w:r>
    </w:p>
    <w:p>
      <w:pPr>
        <w:pStyle w:val="BodyText"/>
      </w:pPr>
      <w:r>
        <w:t xml:space="preserve">28.4M</w:t>
      </w:r>
    </w:p>
    <w:p>
      <w:pPr>
        <w:pStyle w:val="BodyText"/>
      </w:pPr>
      <w:r>
        <w:t xml:space="preserve">Total Architect-Driven Revenue</w:t>
      </w:r>
    </w:p>
    <w:p>
      <w:pPr>
        <w:pStyle w:val="BodyText"/>
      </w:pPr>
      <w:r>
        <w:t xml:space="preserve">87.5M</w:t>
      </w:r>
    </w:p>
    <w:p>
      <w:pPr>
        <w:pStyle w:val="BodyText"/>
      </w:pPr>
      <w:r>
        <w:t xml:space="preserve">+17%</w:t>
      </w:r>
    </w:p>
    <w:p>
      <w:pPr>
        <w:pStyle w:val="BodyText"/>
      </w:pPr>
      <w:r>
        <w:t xml:space="preserve">Clients consistently select our firm because our lead architects (all licensed by Turkey's Ministry of Environment) provide technical credibility during sales cycles. For example, the ₺14.2M contract with Istanbul Metropolitan Municipality for Sultanahmet Heritage Conservation was secured through a 3-hour architectural site analysis session—demonstrating deep local knowledge impossible for non-architect sales staff to replicate.</w:t>
      </w:r>
    </w:p>
    <w:bookmarkEnd w:id="22"/>
    <w:bookmarkStart w:id="23" w:name="X972cfed8cd6298cd862449f9c8c553bbd1e5984"/>
    <w:p>
      <w:pPr>
        <w:pStyle w:val="Heading2"/>
      </w:pPr>
      <w:r>
        <w:t xml:space="preserve">IV. Turkey-Specific Challenges &amp; Strategic Adaptations</w:t>
      </w:r>
    </w:p>
    <w:p>
      <w:pPr>
        <w:pStyle w:val="FirstParagraph"/>
      </w:pPr>
      <w:r>
        <w:t xml:space="preserve">Operating in Istanbul requires navigating Turkey's unique business landscape:</w:t>
      </w:r>
    </w:p>
    <w:p>
      <w:pPr>
        <w:numPr>
          <w:ilvl w:val="0"/>
          <w:numId w:val="1002"/>
        </w:numPr>
        <w:pStyle w:val="Compact"/>
      </w:pPr>
      <w:r>
        <w:rPr>
          <w:bCs/>
          <w:b/>
        </w:rPr>
        <w:t xml:space="preserve">Regulatory Complexity:</w:t>
      </w:r>
      <w:r>
        <w:t xml:space="preserve"> </w:t>
      </w:r>
      <w:r>
        <w:t xml:space="preserve">Navigating Istanbul's 75+ municipal zoning laws requires architect-led compliance consultations, which increased client trust by 41% (per Q3 survey).</w:t>
      </w:r>
    </w:p>
    <w:p>
      <w:pPr>
        <w:numPr>
          <w:ilvl w:val="0"/>
          <w:numId w:val="1002"/>
        </w:numPr>
        <w:pStyle w:val="Compact"/>
      </w:pPr>
      <w:r>
        <w:rPr>
          <w:bCs/>
          <w:b/>
        </w:rPr>
        <w:t xml:space="preserve">Economic Volatility:</w:t>
      </w:r>
      <w:r>
        <w:t xml:space="preserve"> </w:t>
      </w:r>
      <w:r>
        <w:t xml:space="preserve">Lira fluctuations prompted us to introduce fixed-price architectural packages in USD for foreign clients—capturing 28% of new Gulf Cooperation Council projects.</w:t>
      </w:r>
    </w:p>
    <w:p>
      <w:pPr>
        <w:numPr>
          <w:ilvl w:val="0"/>
          <w:numId w:val="1002"/>
        </w:numPr>
        <w:pStyle w:val="Compact"/>
      </w:pPr>
      <w:r>
        <w:rPr>
          <w:bCs/>
          <w:b/>
        </w:rPr>
        <w:t xml:space="preserve">Cultural Nuance:</w:t>
      </w:r>
      <w:r>
        <w:t xml:space="preserve"> </w:t>
      </w:r>
      <w:r>
        <w:t xml:space="preserve">Understanding Turkish social dynamics (e.g., "kavak" business relationships) is embedded in our architect training. This reduced client onboarding time by 30% in Istanbul's residential market.</w:t>
      </w:r>
    </w:p>
    <w:bookmarkEnd w:id="23"/>
    <w:bookmarkStart w:id="24" w:name="Xc45d53ce9f2802cf39ba887a58a660e95810476"/>
    <w:p>
      <w:pPr>
        <w:pStyle w:val="Heading2"/>
      </w:pPr>
      <w:r>
        <w:t xml:space="preserve">V. Sales Team Effectiveness: The Architect-First Model</w:t>
      </w:r>
    </w:p>
    <w:p>
      <w:pPr>
        <w:pStyle w:val="FirstParagraph"/>
      </w:pPr>
      <w:r>
        <w:t xml:space="preserve">Our sales process—where architects handle 95% of client interactions—directly correlates with closing rates. Key metrics include:</w:t>
      </w:r>
    </w:p>
    <w:p>
      <w:pPr>
        <w:numPr>
          <w:ilvl w:val="0"/>
          <w:numId w:val="1003"/>
        </w:numPr>
        <w:pStyle w:val="Compact"/>
      </w:pPr>
      <w:r>
        <w:t xml:space="preserve">48% higher win rate for projects led by our in-house licensed architects vs. non-architect sales teams.</w:t>
      </w:r>
    </w:p>
    <w:p>
      <w:pPr>
        <w:numPr>
          <w:ilvl w:val="0"/>
          <w:numId w:val="1003"/>
        </w:numPr>
        <w:pStyle w:val="Compact"/>
      </w:pPr>
      <w:r>
        <w:t xml:space="preserve">Client retention increased to 79% (vs. industry avg. 65%) due to architects managing entire project lifecycles.</w:t>
      </w:r>
    </w:p>
    <w:p>
      <w:pPr>
        <w:numPr>
          <w:ilvl w:val="0"/>
          <w:numId w:val="1003"/>
        </w:numPr>
        <w:pStyle w:val="Compact"/>
      </w:pPr>
      <w:r>
        <w:t xml:space="preserve">In Istanbul, architect-led proposals received 23% more positive feedback on "technical competence" (per client survey).</w:t>
      </w:r>
    </w:p>
    <w:p>
      <w:pPr>
        <w:pStyle w:val="FirstParagraph"/>
      </w:pPr>
      <w:r>
        <w:t xml:space="preserve">Notably, our Istanbul team includes three architects fluent in Turkish and English with decades of local experience—critical for navigating the city's complex stakeholder landscape (municipality, heritage boards, community associations).</w:t>
      </w:r>
    </w:p>
    <w:bookmarkEnd w:id="24"/>
    <w:bookmarkStart w:id="25" w:name="vi.-future-outlook-recommendations"/>
    <w:p>
      <w:pPr>
        <w:pStyle w:val="Heading2"/>
      </w:pPr>
      <w:r>
        <w:t xml:space="preserve">VI. Future Outlook &amp; Recommendations</w:t>
      </w:r>
    </w:p>
    <w:p>
      <w:pPr>
        <w:pStyle w:val="FirstParagraph"/>
      </w:pPr>
      <w:r>
        <w:t xml:space="preserve">To sustain growth in Turkey's Istanbul market, we recommend:</w:t>
      </w:r>
    </w:p>
    <w:p>
      <w:pPr>
        <w:numPr>
          <w:ilvl w:val="0"/>
          <w:numId w:val="1004"/>
        </w:numPr>
        <w:pStyle w:val="Compact"/>
      </w:pPr>
      <w:r>
        <w:rPr>
          <w:bCs/>
          <w:b/>
        </w:rPr>
        <w:t xml:space="preserve">Expand Architect Certification:</w:t>
      </w:r>
      <w:r>
        <w:t xml:space="preserve"> </w:t>
      </w:r>
      <w:r>
        <w:t xml:space="preserve">Invest ₺12M to certify 15 more architects in BIM (Building Information Modeling) and Turkish Energy Efficiency Standards by Q2 2025.</w:t>
      </w:r>
    </w:p>
    <w:p>
      <w:pPr>
        <w:numPr>
          <w:ilvl w:val="0"/>
          <w:numId w:val="1004"/>
        </w:numPr>
        <w:pStyle w:val="Compact"/>
      </w:pPr>
      <w:r>
        <w:rPr>
          <w:bCs/>
          <w:b/>
        </w:rPr>
        <w:t xml:space="preserve">Tailor Sales Pitch to Istanbul's Needs:</w:t>
      </w:r>
      <w:r>
        <w:t xml:space="preserve"> </w:t>
      </w:r>
      <w:r>
        <w:t xml:space="preserve">Develop case studies showcasing heritage projects (e.g., Galata Tower restoration) for targeted client outreach in historic districts.</w:t>
      </w:r>
    </w:p>
    <w:p>
      <w:pPr>
        <w:numPr>
          <w:ilvl w:val="0"/>
          <w:numId w:val="1004"/>
        </w:numPr>
        <w:pStyle w:val="Compact"/>
      </w:pPr>
      <w:r>
        <w:rPr>
          <w:bCs/>
          <w:b/>
        </w:rPr>
        <w:t xml:space="preserve">Leverage Government Projects:</w:t>
      </w:r>
      <w:r>
        <w:t xml:space="preserve"> </w:t>
      </w:r>
      <w:r>
        <w:t xml:space="preserve">Form partnerships with Turkish State Hydraulic Works (DSI) to bid on Q4 infrastructure contracts requiring architectural oversight.</w:t>
      </w:r>
    </w:p>
    <w:p>
      <w:pPr>
        <w:numPr>
          <w:ilvl w:val="0"/>
          <w:numId w:val="1004"/>
        </w:numPr>
        <w:pStyle w:val="Compact"/>
      </w:pPr>
      <w:r>
        <w:rPr>
          <w:bCs/>
          <w:b/>
        </w:rPr>
        <w:t xml:space="preserve">Localize Digital Sales:</w:t>
      </w:r>
      <w:r>
        <w:t xml:space="preserve"> </w:t>
      </w:r>
      <w:r>
        <w:t xml:space="preserve">Create an Istanbul-specific microsite highlighting projects like the New Istanbul Airport Terminal, optimized for Turkish SEO keywords (e.g., "Istanbul mimarlık firması")."</w:t>
      </w:r>
    </w:p>
    <w:bookmarkEnd w:id="25"/>
    <w:bookmarkStart w:id="26" w:name="X05e19fd7ec4687f6eb6d4ad82e25281067c29f9"/>
    <w:p>
      <w:pPr>
        <w:pStyle w:val="Heading2"/>
      </w:pPr>
      <w:r>
        <w:t xml:space="preserve">VII. Conclusion: Architect as Turkey's Competitive Advantage</w:t>
      </w:r>
    </w:p>
    <w:p>
      <w:pPr>
        <w:pStyle w:val="FirstParagraph"/>
      </w:pPr>
      <w:r>
        <w:t xml:space="preserve">The Q3 Sales Report unequivocally proves that in Istanbul's architectural market, the</w:t>
      </w:r>
      <w:r>
        <w:t xml:space="preserve"> </w:t>
      </w:r>
      <w:r>
        <w:rPr>
          <w:iCs/>
          <w:i/>
        </w:rPr>
        <w:t xml:space="preserve">Architect</w:t>
      </w:r>
      <w:r>
        <w:t xml:space="preserve"> </w:t>
      </w:r>
      <w:r>
        <w:t xml:space="preserve">is not a support function—it is the core revenue generator. As Turkey positions itself for its 100th anniversary with transformative infrastructure (e.g., Istanbul Canal, third airport), demand for architects who understand both Turkish regulations and global standards will surge. Our strategy of embedding licensed architects within every sales initiative—not as consultants, but as decision-makers—has already positioned us to capture market share in Turkey's most valuable city. By doubling down on architect-led sales processes tailored to Istanbul's unique urban fabric, we project 20% revenue growth for Q4 2024 and cement our leadership in the Turkish architectural services sector.</w:t>
      </w:r>
    </w:p>
    <w:p>
      <w:pPr>
        <w:pStyle w:val="BodyText"/>
      </w:pPr>
      <w:r>
        <w:rPr>
          <w:iCs/>
          <w:i/>
        </w:rPr>
        <w:t xml:space="preserve">Prepared by: Sales &amp; Strategy Division | Istanbul,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Performance in Istanbul, Turkey</dc:title>
  <dc:creator/>
  <dc:language>en</dc:language>
  <cp:keywords/>
  <dcterms:created xsi:type="dcterms:W3CDTF">2026-07-21T14:33:52Z</dcterms:created>
  <dcterms:modified xsi:type="dcterms:W3CDTF">2026-07-21T14:33:52Z</dcterms:modified>
</cp:coreProperties>
</file>

<file path=docProps/custom.xml><?xml version="1.0" encoding="utf-8"?>
<Properties xmlns="http://schemas.openxmlformats.org/officeDocument/2006/custom-properties" xmlns:vt="http://schemas.openxmlformats.org/officeDocument/2006/docPropsVTypes"/>
</file>