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Architect</w:t>
      </w:r>
      <w:r>
        <w:t xml:space="preserve"> </w:t>
      </w:r>
      <w:r>
        <w:t xml:space="preserve">Services</w:t>
      </w:r>
      <w:r>
        <w:t xml:space="preserve"> </w:t>
      </w:r>
      <w:r>
        <w:t xml:space="preserve">in</w:t>
      </w:r>
      <w:r>
        <w:t xml:space="preserve"> </w:t>
      </w:r>
      <w:r>
        <w:t xml:space="preserve">Uganda</w:t>
      </w:r>
      <w:r>
        <w:t xml:space="preserve"> </w:t>
      </w:r>
      <w:r>
        <w:t xml:space="preserve">Kampala</w:t>
      </w:r>
    </w:p>
    <w:bookmarkStart w:id="28" w:name="X53fb77c18b00d96887d35ae5749c380c8588883"/>
    <w:p>
      <w:pPr>
        <w:pStyle w:val="Heading1"/>
      </w:pPr>
      <w:r>
        <w:t xml:space="preserve">Sales Report: Architect Services in Uganda Kampala - Q3 2023 Performance Analysis</w:t>
      </w:r>
    </w:p>
    <w:p>
      <w:pPr>
        <w:pStyle w:val="FirstParagraph"/>
      </w:pPr>
      <w:r>
        <w:rPr>
          <w:bCs/>
          <w:b/>
        </w:rPr>
        <w:t xml:space="preserve">Prepared For:</w:t>
      </w:r>
      <w:r>
        <w:t xml:space="preserve"> </w:t>
      </w:r>
      <w:r>
        <w:t xml:space="preserve">Executive Leadership &amp; Stakeholders</w:t>
      </w:r>
      <w:r>
        <w:br/>
      </w:r>
      <w:r>
        <w:rPr>
          <w:bCs/>
          <w:b/>
        </w:rPr>
        <w:t xml:space="preserve">Period Covered:</w:t>
      </w:r>
      <w:r>
        <w:t xml:space="preserve"> </w:t>
      </w:r>
      <w:r>
        <w:t xml:space="preserve">July 1, 2023 - September 30, 2023</w:t>
      </w:r>
      <w:r>
        <w:br/>
      </w:r>
      <w:r>
        <w:rPr>
          <w:bCs/>
          <w:b/>
        </w:rPr>
        <w:t xml:space="preserve">Date Prepared:</w:t>
      </w:r>
      <w:r>
        <w:t xml:space="preserve"> </w:t>
      </w:r>
      <w:r>
        <w:t xml:space="preserve">October 15, 2023</w:t>
      </w:r>
    </w:p>
    <w:bookmarkStart w:id="20" w:name="executive-summary"/>
    <w:p>
      <w:pPr>
        <w:pStyle w:val="Heading2"/>
      </w:pPr>
      <w:r>
        <w:t xml:space="preserve">Executive Summary</w:t>
      </w:r>
    </w:p>
    <w:p>
      <w:pPr>
        <w:pStyle w:val="FirstParagraph"/>
      </w:pPr>
      <w:r>
        <w:t xml:space="preserve">This comprehensive Sales Report details the performance of our architectural services firm across Uganda Kampala during Q3 2023. As a leading Architect practice serving East Africa's capital city, we have achieved remarkable growth with a 18.7% increase in signed contracts compared to Q2, totaling UGX 548 million (approximately USD $154,000) in new revenue. This performance positions us as the fastest-growing architectural firm in Kampala's commercial sector while reinforcing our strategic commitment to sustainable urban development across Uganda.</w:t>
      </w:r>
    </w:p>
    <w:bookmarkEnd w:id="20"/>
    <w:bookmarkStart w:id="21" w:name="Xb61a55ab1d66245c053f014e3ff677689f09c02"/>
    <w:p>
      <w:pPr>
        <w:pStyle w:val="Heading2"/>
      </w:pPr>
      <w:r>
        <w:t xml:space="preserve">Market Analysis: Architectural Demand in Kampala</w:t>
      </w:r>
    </w:p>
    <w:p>
      <w:pPr>
        <w:pStyle w:val="FirstParagraph"/>
      </w:pPr>
      <w:r>
        <w:t xml:space="preserve">The Ugandan capital city continues to experience unprecedented urbanization, with Kampala's population projected to reach 17 million by 2050. This demographic surge has created exceptional demand for professional Architect services across residential, commercial, and institutional sectors. Our market research indicates a 34% year-over-year increase in architectural project inquiries from clients seeking sustainable designs that comply with Uganda's National Physical Planning Policy (2023). Notably, 68% of new projects originate from Kampala-based developers recognizing the critical role an Architect plays in navigating complex urban planning regulations while maximizing land value.</w:t>
      </w:r>
    </w:p>
    <w:p>
      <w:pPr>
        <w:pStyle w:val="BodyText"/>
      </w:pPr>
      <w:r>
        <w:t xml:space="preserve">Key market drivers include:</w:t>
      </w:r>
    </w:p>
    <w:p>
      <w:pPr>
        <w:numPr>
          <w:ilvl w:val="0"/>
          <w:numId w:val="1001"/>
        </w:numPr>
        <w:pStyle w:val="Compact"/>
      </w:pPr>
      <w:r>
        <w:t xml:space="preserve">Government infrastructure initiatives like the Kampala Capital City Authority (KCCA) Urban Renewal Project</w:t>
      </w:r>
    </w:p>
    <w:p>
      <w:pPr>
        <w:numPr>
          <w:ilvl w:val="0"/>
          <w:numId w:val="1001"/>
        </w:numPr>
        <w:pStyle w:val="Compact"/>
      </w:pPr>
      <w:r>
        <w:t xml:space="preserve">Rising demand for energy-efficient commercial spaces following Uganda's 2023 Green Building Code implementation</w:t>
      </w:r>
    </w:p>
    <w:p>
      <w:pPr>
        <w:numPr>
          <w:ilvl w:val="0"/>
          <w:numId w:val="1001"/>
        </w:numPr>
        <w:pStyle w:val="Compact"/>
      </w:pPr>
      <w:r>
        <w:t xml:space="preserve">Increased foreign investment in Kampala's real estate sector (+21% YoY)</w:t>
      </w:r>
    </w:p>
    <w:bookmarkEnd w:id="21"/>
    <w:bookmarkStart w:id="22" w:name="sales-performance-breakdown"/>
    <w:p>
      <w:pPr>
        <w:pStyle w:val="Heading2"/>
      </w:pPr>
      <w:r>
        <w:t xml:space="preserve">Sales Performance Breakdown</w:t>
      </w:r>
    </w:p>
    <w:p>
      <w:pPr>
        <w:pStyle w:val="FirstParagraph"/>
      </w:pPr>
      <w:r>
        <w:t xml:space="preserve">Our Q3 sales performance demonstrates exceptional traction across all service segments:</w:t>
      </w:r>
    </w:p>
    <w:p>
      <w:pPr>
        <w:pStyle w:val="BodyText"/>
      </w:pPr>
      <w:r>
        <w:t xml:space="preserve">Service Category</w:t>
      </w:r>
    </w:p>
    <w:p>
      <w:pPr>
        <w:pStyle w:val="BodyText"/>
      </w:pPr>
      <w:r>
        <w:t xml:space="preserve">Number of Projects</w:t>
      </w:r>
    </w:p>
    <w:p>
      <w:pPr>
        <w:pStyle w:val="BodyText"/>
      </w:pPr>
      <w:r>
        <w:t xml:space="preserve">Total Revenue (UGX)</w:t>
      </w:r>
    </w:p>
    <w:p>
      <w:pPr>
        <w:pStyle w:val="BodyText"/>
      </w:pPr>
      <w:r>
        <w:t xml:space="preserve">% of Total Sales</w:t>
      </w:r>
    </w:p>
    <w:p>
      <w:pPr>
        <w:pStyle w:val="BodyText"/>
      </w:pPr>
      <w:r>
        <w:t xml:space="preserve">Residential Architectural Design</w:t>
      </w:r>
    </w:p>
    <w:p>
      <w:pPr>
        <w:pStyle w:val="BodyText"/>
      </w:pPr>
      <w:r>
        <w:t xml:space="preserve">27</w:t>
      </w:r>
    </w:p>
    <w:p>
      <w:pPr>
        <w:pStyle w:val="BodyText"/>
      </w:pPr>
      <w:r>
        <w:t xml:space="preserve">216,500,000</w:t>
      </w:r>
    </w:p>
    <w:p>
      <w:pPr>
        <w:pStyle w:val="BodyText"/>
      </w:pPr>
      <w:r>
        <w:t xml:space="preserve">39.5%</w:t>
      </w:r>
    </w:p>
    <w:p>
      <w:pPr>
        <w:pStyle w:val="BodyText"/>
      </w:pPr>
      <w:r>
        <w:t xml:space="preserve">Commercial Facility Planning</w:t>
      </w:r>
    </w:p>
    <w:p>
      <w:pPr>
        <w:pStyle w:val="BodyText"/>
      </w:pPr>
      <w:r>
        <w:t xml:space="preserve">14</w:t>
      </w:r>
    </w:p>
    <w:p>
      <w:pPr>
        <w:pStyle w:val="BodyText"/>
      </w:pPr>
      <w:r>
        <w:t xml:space="preserve">178,200,000</w:t>
      </w:r>
    </w:p>
    <w:p>
      <w:pPr>
        <w:pStyle w:val="BodyText"/>
      </w:pPr>
      <w:r>
        <w:t xml:space="preserve">32.5%</w:t>
      </w:r>
    </w:p>
    <w:p>
      <w:pPr>
        <w:pStyle w:val="BodyText"/>
      </w:pPr>
      <w:r>
        <w:t xml:space="preserve">Sustainable Building Consulting</w:t>
      </w:r>
    </w:p>
    <w:p>
      <w:pPr>
        <w:pStyle w:val="BodyText"/>
      </w:pPr>
      <w:r>
        <w:t xml:space="preserve">9</w:t>
      </w:r>
    </w:p>
    <w:p>
      <w:pPr>
        <w:pStyle w:val="BodyText"/>
      </w:pPr>
      <w:r>
        <w:t xml:space="preserve">96,850,000</w:t>
      </w:r>
    </w:p>
    <w:p>
      <w:pPr>
        <w:pStyle w:val="BodyText"/>
      </w:pPr>
      <w:r>
        <w:t xml:space="preserve">17.7%</w:t>
      </w:r>
    </w:p>
    <w:p>
      <w:pPr>
        <w:pStyle w:val="BodyText"/>
      </w:pPr>
      <w:r>
        <w:t xml:space="preserve">Government Project Compliance Services</w:t>
      </w:r>
    </w:p>
    <w:p>
      <w:pPr>
        <w:pStyle w:val="BodyText"/>
      </w:pPr>
      <w:r>
        <w:t xml:space="preserve">6</w:t>
      </w:r>
    </w:p>
    <w:p>
      <w:pPr>
        <w:pStyle w:val="BodyText"/>
      </w:pPr>
      <w:r>
        <w:t xml:space="preserve">56,450,000</w:t>
      </w:r>
    </w:p>
    <w:p>
      <w:pPr>
        <w:pStyle w:val="BodyText"/>
      </w:pPr>
      <w:r>
        <w:t xml:space="preserve">10.3%</w:t>
      </w:r>
    </w:p>
    <w:p>
      <w:pPr>
        <w:pStyle w:val="BodyText"/>
      </w:pPr>
      <w:r>
        <w:t xml:space="preserve">Total</w:t>
      </w:r>
    </w:p>
    <w:p>
      <w:pPr>
        <w:pStyle w:val="BodyText"/>
      </w:pPr>
      <w:r>
        <w:rPr>
          <w:bCs/>
          <w:b/>
        </w:rPr>
        <w:t xml:space="preserve">56 Projects</w:t>
      </w:r>
    </w:p>
    <w:p>
      <w:pPr>
        <w:pStyle w:val="BodyText"/>
      </w:pPr>
      <w:r>
        <w:rPr>
          <w:bCs/>
          <w:b/>
        </w:rPr>
        <w:t xml:space="preserve">548,000,000</w:t>
      </w:r>
    </w:p>
    <w:p>
      <w:pPr>
        <w:pStyle w:val="BodyText"/>
      </w:pPr>
      <w:r>
        <w:rPr>
          <w:bCs/>
          <w:b/>
        </w:rPr>
        <w:t xml:space="preserve">100%</w:t>
      </w:r>
    </w:p>
    <w:p>
      <w:pPr>
        <w:pStyle w:val="BodyText"/>
      </w:pPr>
      <w:r>
        <w:t xml:space="preserve">The most significant growth occurred in our Sustainable Building Consulting segment (up 63% from Q2), directly responding to Uganda's new green building incentives. Notable projects include the KCCA-approved Eco-Homes development in Naguru and the Kampala International Bank HQ retrofit project - both requiring specialized Architect expertise for LEED certification.</w:t>
      </w:r>
    </w:p>
    <w:bookmarkEnd w:id="22"/>
    <w:bookmarkStart w:id="23" w:name="X2f4f93912f7f453c6f43f57ac36419ce6eaec6d"/>
    <w:p>
      <w:pPr>
        <w:pStyle w:val="Heading2"/>
      </w:pPr>
      <w:r>
        <w:t xml:space="preserve">Client Acquisition Strategy &amp; Market Penetration</w:t>
      </w:r>
    </w:p>
    <w:p>
      <w:pPr>
        <w:pStyle w:val="FirstParagraph"/>
      </w:pPr>
      <w:r>
        <w:t xml:space="preserve">Our targeted sales approach in Uganda Kampala has proven highly effective. We've implemented a three-pronged strategy:</w:t>
      </w:r>
    </w:p>
    <w:p>
      <w:pPr>
        <w:numPr>
          <w:ilvl w:val="0"/>
          <w:numId w:val="1002"/>
        </w:numPr>
        <w:pStyle w:val="Compact"/>
      </w:pPr>
      <w:r>
        <w:rPr>
          <w:bCs/>
          <w:b/>
        </w:rPr>
        <w:t xml:space="preserve">Localized Market Positioning:</w:t>
      </w:r>
      <w:r>
        <w:t xml:space="preserve"> </w:t>
      </w:r>
      <w:r>
        <w:t xml:space="preserve">Emphasizing our deep understanding of Kampala's unique urban challenges - from flood mitigation in Kawempe to high-density zoning regulations in Nakasero.</w:t>
      </w:r>
    </w:p>
    <w:p>
      <w:pPr>
        <w:numPr>
          <w:ilvl w:val="0"/>
          <w:numId w:val="1002"/>
        </w:numPr>
        <w:pStyle w:val="Compact"/>
      </w:pPr>
      <w:r>
        <w:rPr>
          <w:bCs/>
          <w:b/>
        </w:rPr>
        <w:t xml:space="preserve">Government Partnership Program:</w:t>
      </w:r>
      <w:r>
        <w:t xml:space="preserve"> </w:t>
      </w:r>
      <w:r>
        <w:t xml:space="preserve">Collaborating with KCCA and Uganda National Housing Authority (UNHA) on their affordable housing initiatives, securing 4 major contracts this quarter.</w:t>
      </w:r>
    </w:p>
    <w:p>
      <w:pPr>
        <w:numPr>
          <w:ilvl w:val="0"/>
          <w:numId w:val="1002"/>
        </w:numPr>
        <w:pStyle w:val="Compact"/>
      </w:pPr>
      <w:r>
        <w:rPr>
          <w:bCs/>
          <w:b/>
        </w:rPr>
        <w:t xml:space="preserve">Technology Integration:</w:t>
      </w:r>
      <w:r>
        <w:t xml:space="preserve"> </w:t>
      </w:r>
      <w:r>
        <w:t xml:space="preserve">Implementing 3D modeling tools specifically adapted for Kampala's topography, reducing client consultation time by 35% and increasing conversion rates.</w:t>
      </w:r>
    </w:p>
    <w:p>
      <w:pPr>
        <w:pStyle w:val="FirstParagraph"/>
      </w:pPr>
      <w:r>
        <w:t xml:space="preserve">This strategy has yielded a remarkable 27% increase in repeat clients from the previous quarter, demonstrating how our Architect services have become indispensable to Kampala's development ecosystem. Our client retention rate now stands at 89%, significantly above the industry average of 65% for architectural firms in Uganda.</w:t>
      </w:r>
    </w:p>
    <w:bookmarkEnd w:id="23"/>
    <w:bookmarkStart w:id="24" w:name="X3e37f10d37b68a75ed57f8d2faea8221de909a7"/>
    <w:p>
      <w:pPr>
        <w:pStyle w:val="Heading2"/>
      </w:pPr>
      <w:r>
        <w:t xml:space="preserve">Challenges Faced by Architects in Kampala</w:t>
      </w:r>
    </w:p>
    <w:p>
      <w:pPr>
        <w:pStyle w:val="FirstParagraph"/>
      </w:pPr>
      <w:r>
        <w:t xml:space="preserve">Despite strong performance, our Architect team identified critical challenges requiring strategic intervention:</w:t>
      </w:r>
    </w:p>
    <w:p>
      <w:pPr>
        <w:numPr>
          <w:ilvl w:val="0"/>
          <w:numId w:val="1003"/>
        </w:numPr>
        <w:pStyle w:val="Compact"/>
      </w:pPr>
      <w:r>
        <w:rPr>
          <w:bCs/>
          <w:b/>
        </w:rPr>
        <w:t xml:space="preserve">Material Cost Volatility:</w:t>
      </w:r>
      <w:r>
        <w:t xml:space="preserve"> </w:t>
      </w:r>
      <w:r>
        <w:t xml:space="preserve">73% of client projects experienced 15-30% budget overruns due to fluctuating import costs for specialized building materials, directly impacting architectural design feasibility.</w:t>
      </w:r>
    </w:p>
    <w:p>
      <w:pPr>
        <w:numPr>
          <w:ilvl w:val="0"/>
          <w:numId w:val="1003"/>
        </w:numPr>
        <w:pStyle w:val="Compact"/>
      </w:pPr>
      <w:r>
        <w:rPr>
          <w:bCs/>
          <w:b/>
        </w:rPr>
        <w:t xml:space="preserve">Regulatory Complexity:</w:t>
      </w:r>
      <w:r>
        <w:t xml:space="preserve"> </w:t>
      </w:r>
      <w:r>
        <w:t xml:space="preserve">Navigating KCCA's evolving land use regulations requires continuous Architect training, with 42% of new projects facing initial approval delays.</w:t>
      </w:r>
    </w:p>
    <w:p>
      <w:pPr>
        <w:numPr>
          <w:ilvl w:val="0"/>
          <w:numId w:val="1003"/>
        </w:numPr>
        <w:pStyle w:val="Compact"/>
      </w:pPr>
      <w:r>
        <w:rPr>
          <w:bCs/>
          <w:b/>
        </w:rPr>
        <w:t xml:space="preserve">Talent Acquisition:</w:t>
      </w:r>
      <w:r>
        <w:t xml:space="preserve"> </w:t>
      </w:r>
      <w:r>
        <w:t xml:space="preserve">Shortage of mid-level Architect professionals in Kampala has increased our recruitment costs by 22% compared to regional competitors.</w:t>
      </w:r>
    </w:p>
    <w:p>
      <w:pPr>
        <w:pStyle w:val="FirstParagraph"/>
      </w:pPr>
      <w:r>
        <w:t xml:space="preserve">In response, we've launched an internal "Kampala Urban Design Certification" program for our Architect staff, and established a materials consortium with 5 leading suppliers to stabilize pricing for clients.</w:t>
      </w:r>
    </w:p>
    <w:bookmarkEnd w:id="24"/>
    <w:bookmarkStart w:id="25" w:name="strategic-growth-initiatives-for-q4"/>
    <w:p>
      <w:pPr>
        <w:pStyle w:val="Heading2"/>
      </w:pPr>
      <w:r>
        <w:t xml:space="preserve">Strategic Growth Initiatives for Q4</w:t>
      </w:r>
    </w:p>
    <w:p>
      <w:pPr>
        <w:pStyle w:val="FirstParagraph"/>
      </w:pPr>
      <w:r>
        <w:t xml:space="preserve">To maintain momentum in Uganda Kampala's competitive architectural market, we propose these priority actions:</w:t>
      </w:r>
    </w:p>
    <w:p>
      <w:pPr>
        <w:numPr>
          <w:ilvl w:val="0"/>
          <w:numId w:val="1004"/>
        </w:numPr>
        <w:pStyle w:val="Compact"/>
      </w:pPr>
      <w:r>
        <w:rPr>
          <w:bCs/>
          <w:b/>
        </w:rPr>
        <w:t xml:space="preserve">Expand Sustainable Design Offerings:</w:t>
      </w:r>
      <w:r>
        <w:t xml:space="preserve"> </w:t>
      </w:r>
      <w:r>
        <w:t xml:space="preserve">Develop specialized services for Kampala's growing solar energy infrastructure projects, targeting the 30% of commercial developers now prioritizing renewable energy integration.</w:t>
      </w:r>
    </w:p>
    <w:p>
      <w:pPr>
        <w:numPr>
          <w:ilvl w:val="0"/>
          <w:numId w:val="1004"/>
        </w:numPr>
        <w:pStyle w:val="Compact"/>
      </w:pPr>
      <w:r>
        <w:rPr>
          <w:bCs/>
          <w:b/>
        </w:rPr>
        <w:t xml:space="preserve">Establish Kampala Innovation Hub:</w:t>
      </w:r>
      <w:r>
        <w:t xml:space="preserve"> </w:t>
      </w:r>
      <w:r>
        <w:t xml:space="preserve">Create a physical space within our Ntinda office to host monthly Architect client workshops on Uganda's new building codes and climate-resilient design practices.</w:t>
      </w:r>
    </w:p>
    <w:p>
      <w:pPr>
        <w:numPr>
          <w:ilvl w:val="0"/>
          <w:numId w:val="1004"/>
        </w:numPr>
        <w:pStyle w:val="Compact"/>
      </w:pPr>
      <w:r>
        <w:rPr>
          <w:bCs/>
          <w:b/>
        </w:rPr>
        <w:t xml:space="preserve">Digital Sales Transformation:</w:t>
      </w:r>
      <w:r>
        <w:t xml:space="preserve"> </w:t>
      </w:r>
      <w:r>
        <w:t xml:space="preserve">Implement AI-driven project estimation tools to reduce proposal turnaround time from 14 days to under 48 hours, directly addressing a key client pain point identified in our Q3 survey.</w:t>
      </w:r>
    </w:p>
    <w:bookmarkEnd w:id="25"/>
    <w:bookmarkStart w:id="27" w:name="conclusion-future-outlook"/>
    <w:p>
      <w:pPr>
        <w:pStyle w:val="Heading2"/>
      </w:pPr>
      <w:r>
        <w:t xml:space="preserve">Conclusion &amp; Future Outlook</w:t>
      </w:r>
    </w:p>
    <w:p>
      <w:pPr>
        <w:pStyle w:val="FirstParagraph"/>
      </w:pPr>
      <w:r>
        <w:t xml:space="preserve">This Sales Report underscores the exceptional growth trajectory of our architectural practice in Uganda Kampala. We've not only exceeded quarterly revenue targets but have cemented our position as the preferred Architect partner for developers navigating Kampala's complex urban landscape. As Uganda continues its ambitious infrastructure development under Vision 2040, the demand for specialized Architect services will only intensify.</w:t>
      </w:r>
    </w:p>
    <w:p>
      <w:pPr>
        <w:pStyle w:val="BodyText"/>
      </w:pPr>
      <w:r>
        <w:t xml:space="preserve">Looking ahead, our strategic focus on sustainable design integration and regulatory expertise positions us uniquely to lead Kampala's built environment evolution. We project 25%+ revenue growth in Q4 through expanded government partnerships and targeted service bundling. For the first time in our firm's history, we've secured international architectural clients seeking to leverage Uganda Kampala as a base for East African expansion - a testament to our Architect team's capability and local market understanding.</w:t>
      </w:r>
    </w:p>
    <w:p>
      <w:pPr>
        <w:pStyle w:val="BodyText"/>
      </w:pPr>
      <w:r>
        <w:t xml:space="preserve">As this Sales Report demonstrates, the convergence of urban growth momentum in Uganda Kampala and our specialized Architect services has created an unmatched opportunity. We remain committed to delivering not just designs, but solutions that shape Kampala's sustainable future while generating exceptional value for our clients. Our next quarterly objective: securing 10+ projects exceeding UGX 100 million in value through strategic partnerships across Uganda's key development corridors.</w:t>
      </w:r>
    </w:p>
    <w:bookmarkStart w:id="26" w:name="prepared-by"/>
    <w:p>
      <w:pPr>
        <w:pStyle w:val="Heading3"/>
      </w:pPr>
      <w:r>
        <w:t xml:space="preserve">Prepared By:</w:t>
      </w:r>
    </w:p>
    <w:p>
      <w:pPr>
        <w:pStyle w:val="FirstParagraph"/>
      </w:pPr>
      <w:r>
        <w:t xml:space="preserve">Aisha Nalubega, Director of Business Development</w:t>
      </w:r>
      <w:r>
        <w:br/>
      </w:r>
      <w:r>
        <w:t xml:space="preserve">Kampala Architectural Solutions Ltd.</w:t>
      </w:r>
      <w:r>
        <w:br/>
      </w:r>
      <w:r>
        <w:t xml:space="preserve">Kampala, Uganda</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Architect Services in Uganda Kampala</dc:title>
  <dc:creator/>
  <cp:keywords/>
  <dcterms:created xsi:type="dcterms:W3CDTF">2026-07-20T06:57:27Z</dcterms:created>
  <dcterms:modified xsi:type="dcterms:W3CDTF">2026-07-20T06:57:27Z</dcterms:modified>
</cp:coreProperties>
</file>

<file path=docProps/custom.xml><?xml version="1.0" encoding="utf-8"?>
<Properties xmlns="http://schemas.openxmlformats.org/officeDocument/2006/custom-properties" xmlns:vt="http://schemas.openxmlformats.org/officeDocument/2006/docPropsVTypes"/>
</file>