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w:t>
      </w:r>
      <w:r>
        <w:t xml:space="preserve"> </w:t>
      </w:r>
      <w:r>
        <w:t xml:space="preserve">Practice</w:t>
      </w:r>
      <w:r>
        <w:t xml:space="preserve"> </w:t>
      </w:r>
      <w:r>
        <w:t xml:space="preserve">Performance</w:t>
      </w:r>
      <w:r>
        <w:t xml:space="preserve"> </w:t>
      </w:r>
      <w:r>
        <w:t xml:space="preserve">-</w:t>
      </w:r>
      <w:r>
        <w:t xml:space="preserve"> </w:t>
      </w:r>
      <w:r>
        <w:t xml:space="preserve">United</w:t>
      </w:r>
      <w:r>
        <w:t xml:space="preserve"> </w:t>
      </w:r>
      <w:r>
        <w:t xml:space="preserve">Kingdom</w:t>
      </w:r>
      <w:r>
        <w:t xml:space="preserve"> </w:t>
      </w:r>
      <w:r>
        <w:t xml:space="preserve">Birmingham</w:t>
      </w:r>
    </w:p>
    <w:bookmarkStart w:id="28" w:name="X1dcfc4b22b747a18485703f977a1dcc8d918eca"/>
    <w:p>
      <w:pPr>
        <w:pStyle w:val="Heading1"/>
      </w:pPr>
      <w:r>
        <w:t xml:space="preserve">Sales Report: Architect Practice Performance in the United Kingdom Birmingham Market (Q3 2023)</w:t>
      </w:r>
    </w:p>
    <w:bookmarkStart w:id="20" w:name="executive-summary"/>
    <w:p>
      <w:pPr>
        <w:pStyle w:val="Heading2"/>
      </w:pPr>
      <w:r>
        <w:t xml:space="preserve">Executive Summary</w:t>
      </w:r>
    </w:p>
    <w:p>
      <w:pPr>
        <w:pStyle w:val="FirstParagraph"/>
      </w:pPr>
      <w:r>
        <w:t xml:space="preserve">This comprehensive Sales Report details the performance of our Architect practice across the United Kingdom Birmingham market during Q3 2023. As a leading architectural firm headquartered in Birmingham with deep regional expertise, we have successfully navigated evolving market dynamics to achieve significant growth. This report highlights key sales metrics, project acquisitions, client relationships, and strategic insights specifically relevant to the Birmingham landscape within the broader United Kingdom context. Our focus remains firmly on delivering innovative design solutions that align with Birmingham's ambitious regeneration agenda and stringent local planning requirements.</w:t>
      </w:r>
    </w:p>
    <w:bookmarkEnd w:id="20"/>
    <w:bookmarkStart w:id="21" w:name="Xdcc8f9472b57db2fb9892305d60983b145fbf9e"/>
    <w:p>
      <w:pPr>
        <w:pStyle w:val="Heading2"/>
      </w:pPr>
      <w:r>
        <w:t xml:space="preserve">Regional Market Analysis: Birmingham Context</w:t>
      </w:r>
    </w:p>
    <w:p>
      <w:pPr>
        <w:pStyle w:val="FirstParagraph"/>
      </w:pPr>
      <w:r>
        <w:t xml:space="preserve">The United Kingdom Birmingham architectural market has demonstrated robust resilience this quarter, particularly driven by the city's status as a major hub for urban renewal. The City Council's 'Birmingham 2040' strategy and ongoing infrastructure investments (including the HS2 terminal at Birmingham Curzon Street) have created a fertile environment for high-value architectural services. Our Sales Report indicates that projects within Birmingham proper have contributed 78% of our total new contract value, reflecting strong local demand for contemporary, sustainable design in both public and private sectors.</w:t>
      </w:r>
    </w:p>
    <w:p>
      <w:pPr>
        <w:pStyle w:val="BodyText"/>
      </w:pPr>
      <w:r>
        <w:t xml:space="preserve">Key market drivers include:</w:t>
      </w:r>
    </w:p>
    <w:p>
      <w:pPr>
        <w:numPr>
          <w:ilvl w:val="0"/>
          <w:numId w:val="1001"/>
        </w:numPr>
        <w:pStyle w:val="Compact"/>
      </w:pPr>
      <w:r>
        <w:t xml:space="preserve">Accelerated delivery of the £1.5bn Eastside City Centre regeneration</w:t>
      </w:r>
    </w:p>
    <w:p>
      <w:pPr>
        <w:numPr>
          <w:ilvl w:val="0"/>
          <w:numId w:val="1001"/>
        </w:numPr>
        <w:pStyle w:val="Compact"/>
      </w:pPr>
      <w:r>
        <w:t xml:space="preserve">Increased commercial demand for mixed-use developments near Brindleyplace and Centenary Square</w:t>
      </w:r>
    </w:p>
    <w:p>
      <w:pPr>
        <w:numPr>
          <w:ilvl w:val="0"/>
          <w:numId w:val="1001"/>
        </w:numPr>
        <w:pStyle w:val="Compact"/>
      </w:pPr>
      <w:r>
        <w:t xml:space="preserve">Growing emphasis on net-zero carbon compliance in Birmingham's new planning policies</w:t>
      </w:r>
    </w:p>
    <w:p>
      <w:pPr>
        <w:numPr>
          <w:ilvl w:val="0"/>
          <w:numId w:val="1001"/>
        </w:numPr>
        <w:pStyle w:val="Compact"/>
      </w:pPr>
      <w:r>
        <w:t xml:space="preserve">Post-pandemic shift towards high-quality residential schemes across inner-city wards</w:t>
      </w:r>
    </w:p>
    <w:bookmarkEnd w:id="21"/>
    <w:bookmarkStart w:id="22" w:name="X3ebd3b3e43603ee763bdf53ccecb89fa45ca30f"/>
    <w:p>
      <w:pPr>
        <w:pStyle w:val="Heading2"/>
      </w:pPr>
      <w:r>
        <w:t xml:space="preserve">Quarterly Sales Performance Breakdown (Birmingham Focus)</w:t>
      </w:r>
    </w:p>
    <w:p>
      <w:pPr>
        <w:pStyle w:val="FirstParagraph"/>
      </w:pPr>
      <w:r>
        <w:t xml:space="preserve">This Sales Report quantifies our success through tangible metrics. During Q3 2023, our Architect practice secured a total of £1.87 million in new design contracts specifically for Birmingham-based projects, representing a 15% year-over-year growth and exceeding our quarterly target by 9%. The most significant contributors were:</w:t>
      </w:r>
    </w:p>
    <w:p>
      <w:pPr>
        <w:pStyle w:val="BodyText"/>
      </w:pPr>
      <w:r>
        <w:t xml:space="preserve">Project Type</w:t>
      </w:r>
    </w:p>
    <w:p>
      <w:pPr>
        <w:pStyle w:val="BodyText"/>
      </w:pPr>
      <w:r>
        <w:t xml:space="preserve">Value (GBP)</w:t>
      </w:r>
    </w:p>
    <w:p>
      <w:pPr>
        <w:pStyle w:val="BodyText"/>
      </w:pPr>
      <w:r>
        <w:t xml:space="preserve">Key Location</w:t>
      </w:r>
    </w:p>
    <w:p>
      <w:pPr>
        <w:pStyle w:val="BodyText"/>
      </w:pPr>
      <w:r>
        <w:t xml:space="preserve">Status</w:t>
      </w:r>
    </w:p>
    <w:p>
      <w:pPr>
        <w:pStyle w:val="BodyText"/>
      </w:pPr>
      <w:r>
        <w:t xml:space="preserve">Luxury Residential Development</w:t>
      </w:r>
    </w:p>
    <w:p>
      <w:pPr>
        <w:pStyle w:val="BodyText"/>
      </w:pPr>
      <w:r>
        <w:t xml:space="preserve">£450,000</w:t>
      </w:r>
    </w:p>
    <w:p>
      <w:pPr>
        <w:pStyle w:val="BodyText"/>
      </w:pPr>
      <w:r>
        <w:t xml:space="preserve">Sutton Coldfield (Birmingham Metropolitan Area)</w:t>
      </w:r>
    </w:p>
    <w:p>
      <w:pPr>
        <w:pStyle w:val="BodyText"/>
      </w:pPr>
      <w:r>
        <w:t xml:space="preserve">Contract Signed</w:t>
      </w:r>
    </w:p>
    <w:p>
      <w:pPr>
        <w:pStyle w:val="BodyText"/>
      </w:pPr>
      <w:r>
        <w:t xml:space="preserve">Mixed-Use Commercial Hub</w:t>
      </w:r>
    </w:p>
    <w:p>
      <w:pPr>
        <w:pStyle w:val="BodyText"/>
      </w:pPr>
      <w:r>
        <w:t xml:space="preserve">£625,000</w:t>
      </w:r>
    </w:p>
    <w:p>
      <w:pPr>
        <w:pStyle w:val="BodyText"/>
      </w:pPr>
      <w:r>
        <w:t xml:space="preserve">School Redevelopment (City Council)</w:t>
      </w:r>
    </w:p>
    <w:p>
      <w:pPr>
        <w:pStyle w:val="BodyText"/>
      </w:pPr>
      <w:r>
        <w:t xml:space="preserve">£387,500</w:t>
      </w:r>
    </w:p>
    <w:p>
      <w:pPr>
        <w:pStyle w:val="BodyText"/>
      </w:pPr>
      <w:r>
        <w:t xml:space="preserve">Birmingham City Centre</w:t>
      </w:r>
    </w:p>
    <w:p>
      <w:pPr>
        <w:pStyle w:val="BodyText"/>
      </w:pPr>
      <w:r>
        <w:t xml:space="preserve">Adaptive Reuse of Industrial Heritage</w:t>
      </w:r>
    </w:p>
    <w:p>
      <w:pPr>
        <w:pStyle w:val="BodyText"/>
      </w:pPr>
      <w:r>
        <w:t xml:space="preserve">£412,500</w:t>
      </w:r>
    </w:p>
    <w:p>
      <w:pPr>
        <w:pStyle w:val="BodyText"/>
      </w:pPr>
      <w:r>
        <w:t xml:space="preserve">Moor Street Quarter</w:t>
      </w:r>
    </w:p>
    <w:bookmarkEnd w:id="22"/>
    <w:bookmarkStart w:id="23" w:name="X86a6dd0c264a3b2a6f75e945eda36714c7ede34"/>
    <w:p>
      <w:pPr>
        <w:pStyle w:val="Heading2"/>
      </w:pPr>
      <w:r>
        <w:t xml:space="preserve">Strategic Client Acquisition in Birmingham</w:t>
      </w:r>
    </w:p>
    <w:p>
      <w:pPr>
        <w:pStyle w:val="FirstParagraph"/>
      </w:pPr>
      <w:r>
        <w:t xml:space="preserve">A critical element reflected in our Sales Report is the diversification of our client base within United Kingdom Birmingham. We successfully onboarded three new key clients this quarter, including a major national housing association and a prominent private development consortium focused on the West Midlands. This expansion was facilitated by targeted engagement with Birmingham Chamber of Commerce initiatives and participation in local planning workshops organised by Birmingham City Council's Development Planning Unit.</w:t>
      </w:r>
    </w:p>
    <w:p>
      <w:pPr>
        <w:pStyle w:val="BodyText"/>
      </w:pPr>
      <w:r>
        <w:t xml:space="preserve">Our approach to Architect services has evolved to prioritise early-stage collaboration, particularly with developers navigating the complexities of Birmingham's conservation areas (e.g., Ladywood, Small Heath). The Sales Report confirms that 82% of new projects were won through referrals or established relationships within the Birmingham development community – underscoring the importance of our long-term local presence.</w:t>
      </w:r>
    </w:p>
    <w:bookmarkEnd w:id="23"/>
    <w:bookmarkStart w:id="24" w:name="X641ff668292cefdb91cbf55543b3b0c313daeb4"/>
    <w:p>
      <w:pPr>
        <w:pStyle w:val="Heading2"/>
      </w:pPr>
      <w:r>
        <w:t xml:space="preserve">Project Pipeline Highlights: Birmingham-Specific Success</w:t>
      </w:r>
    </w:p>
    <w:p>
      <w:pPr>
        <w:pStyle w:val="FirstParagraph"/>
      </w:pPr>
      <w:r>
        <w:t xml:space="preserve">The pipeline for our Architect practice in United Kingdom Birmingham demonstrates exceptional momentum. The most notable project currently under proposal is 'The Spire at Smithfield', a 150-unit mixed-use development adjacent to the historic Smithfield Market. This project aligns perfectly with Birmingham's vision for sustainable urban living and has attracted significant interest from both the public realm and private investors. Our Sales Report indicates this potential contract could reach £850,000 in design fees alone.</w:t>
      </w:r>
    </w:p>
    <w:p>
      <w:pPr>
        <w:pStyle w:val="BodyText"/>
      </w:pPr>
      <w:r>
        <w:t xml:space="preserve">Another critical win was securing the masterplanning role for a new cultural quarter near Birmingham New Street Station – an initiative directly supported by the West Midlands Combined Authority. This project exemplifies how our Architect practice effectively translates regional strategic frameworks into actionable design solutions within Birmingham's unique urban fabric.</w:t>
      </w:r>
    </w:p>
    <w:bookmarkEnd w:id="24"/>
    <w:bookmarkStart w:id="25" w:name="market-challenges-and-strategic-response"/>
    <w:p>
      <w:pPr>
        <w:pStyle w:val="Heading2"/>
      </w:pPr>
      <w:r>
        <w:t xml:space="preserve">Market Challenges and Strategic Response</w:t>
      </w:r>
    </w:p>
    <w:p>
      <w:pPr>
        <w:pStyle w:val="FirstParagraph"/>
      </w:pPr>
      <w:r>
        <w:t xml:space="preserve">The Sales Report also addresses challenges specific to the Birmingham market, including increased material costs affecting residential projects and tighter compliance timelines for sustainable design. In response, our Architect practice has implemented a new project scoping framework that incorporates early cost benchmarking against Birmingham's construction cost database (published by BCC). This proactive approach has reduced client negotiation cycles by 25% and enhanced our proposal success rate.</w:t>
      </w:r>
    </w:p>
    <w:p>
      <w:pPr>
        <w:pStyle w:val="BodyText"/>
      </w:pPr>
      <w:r>
        <w:t xml:space="preserve">Furthermore, we've developed specialised training for our Birmingham-based team on the latest amendments to the Local Plan 2031 – ensuring all proposals immediately comply with Birmingham City Council's most recent planning policies. This technical expertise has become a key differentiator in securing competitive bids within this regulated market.</w:t>
      </w:r>
    </w:p>
    <w:bookmarkEnd w:id="25"/>
    <w:bookmarkStart w:id="26" w:name="Xc6ac61858738930423581208282b72d9c0f8809"/>
    <w:p>
      <w:pPr>
        <w:pStyle w:val="Heading2"/>
      </w:pPr>
      <w:r>
        <w:t xml:space="preserve">Future Outlook and Strategic Focus for United Kingdom Birmingham</w:t>
      </w:r>
    </w:p>
    <w:p>
      <w:pPr>
        <w:pStyle w:val="FirstParagraph"/>
      </w:pPr>
      <w:r>
        <w:t xml:space="preserve">Looking ahead, our sales strategy for the Architect practice in United Kingdom Birmingham will concentrate on three strategic pillars:</w:t>
      </w:r>
    </w:p>
    <w:p>
      <w:pPr>
        <w:numPr>
          <w:ilvl w:val="0"/>
          <w:numId w:val="1002"/>
        </w:numPr>
        <w:pStyle w:val="Compact"/>
      </w:pPr>
      <w:r>
        <w:rPr>
          <w:bCs/>
          <w:b/>
        </w:rPr>
        <w:t xml:space="preserve">Expanding Public Sector Partnerships:</w:t>
      </w:r>
      <w:r>
        <w:t xml:space="preserve"> </w:t>
      </w:r>
      <w:r>
        <w:t xml:space="preserve">Leveraging the City Council's commitment to affordable housing and green infrastructure to pursue more council-led projects across Birmingham's priority growth areas.</w:t>
      </w:r>
    </w:p>
    <w:p>
      <w:pPr>
        <w:numPr>
          <w:ilvl w:val="0"/>
          <w:numId w:val="1002"/>
        </w:numPr>
        <w:pStyle w:val="Compact"/>
      </w:pPr>
      <w:r>
        <w:rPr>
          <w:bCs/>
          <w:b/>
        </w:rPr>
        <w:t xml:space="preserve">Digital Integration Services:</w:t>
      </w:r>
      <w:r>
        <w:t xml:space="preserve"> </w:t>
      </w:r>
      <w:r>
        <w:t xml:space="preserve">Offering enhanced BIM (Building Information Modelling) services tailored for Birmingham's complex infrastructure networks, a key requirement in our recent proposals.</w:t>
      </w:r>
    </w:p>
    <w:p>
      <w:pPr>
        <w:numPr>
          <w:ilvl w:val="0"/>
          <w:numId w:val="1002"/>
        </w:numPr>
        <w:pStyle w:val="Compact"/>
      </w:pPr>
      <w:r>
        <w:rPr>
          <w:bCs/>
          <w:b/>
        </w:rPr>
        <w:t xml:space="preserve">Sustainability Leadership:</w:t>
      </w:r>
      <w:r>
        <w:t xml:space="preserve"> </w:t>
      </w:r>
      <w:r>
        <w:t xml:space="preserve">Developing carbon-neutral design packages that exceed Birmingham's new minimum standards, positioning us as the go-to Architect practice for eco-conscious developments in the city.</w:t>
      </w:r>
    </w:p>
    <w:p>
      <w:pPr>
        <w:pStyle w:val="FirstParagraph"/>
      </w:pPr>
      <w:r>
        <w:t xml:space="preserve">Based on current pipeline activity and market indicators, our Sales Report forecasts a 20% increase in Birmingham-based revenue for Q4 2023. We anticipate that ongoing regeneration projects like the Birmingham Commonwealth Games legacy sites will continue to drive substantial opportunities for our Architect practice throughout the United Kingdom Birmingham market.</w:t>
      </w:r>
    </w:p>
    <w:bookmarkEnd w:id="26"/>
    <w:bookmarkStart w:id="27" w:name="conclusion"/>
    <w:p>
      <w:pPr>
        <w:pStyle w:val="Heading2"/>
      </w:pPr>
      <w:r>
        <w:t xml:space="preserve">Conclusion</w:t>
      </w:r>
    </w:p>
    <w:p>
      <w:pPr>
        <w:pStyle w:val="FirstParagraph"/>
      </w:pPr>
      <w:r>
        <w:t xml:space="preserve">This Sales Report confirms that our Architect practice is well-positioned to capitalise on Birmingham's dynamic development landscape. The city's commitment to transformation, combined with our specialised local knowledge and strategic sales approach, has yielded significant commercial success. By maintaining a hyper-focused presence within United Kingdom Birmingham – understanding its unique planning environment, economic drivers, and community needs – we are not only meeting client expectations but actively shaping the future architectural identity of this vibrant Midlands city. Our continued investment in Birmingham-specific expertise ensures we remain a preferred Architect partner for developers, public bodies, and communities seeking exceptional design outcomes within the heart of England's second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 Practice Performance - United Kingdom Birmingham</dc:title>
  <dc:creator/>
  <dc:language>en</dc:language>
  <cp:keywords/>
  <dcterms:created xsi:type="dcterms:W3CDTF">2026-07-23T11:31:42Z</dcterms:created>
  <dcterms:modified xsi:type="dcterms:W3CDTF">2026-07-23T11:31:42Z</dcterms:modified>
</cp:coreProperties>
</file>

<file path=docProps/custom.xml><?xml version="1.0" encoding="utf-8"?>
<Properties xmlns="http://schemas.openxmlformats.org/officeDocument/2006/custom-properties" xmlns:vt="http://schemas.openxmlformats.org/officeDocument/2006/docPropsVTypes"/>
</file>