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London</w:t>
      </w:r>
      <w:r>
        <w:t xml:space="preserve"> </w:t>
      </w:r>
      <w:r>
        <w:t xml:space="preserve">Architectural</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Kingdom</w:t>
      </w:r>
    </w:p>
    <w:bookmarkStart w:id="30" w:name="X4417510d8e1d621ee517abceb7417df376c67c7"/>
    <w:p>
      <w:pPr>
        <w:pStyle w:val="Heading1"/>
      </w:pPr>
      <w:r>
        <w:t xml:space="preserve">Architectural Services Sales Performance Report</w:t>
      </w:r>
    </w:p>
    <w:bookmarkStart w:id="29" w:name="X085210ed568eafae9c6e94151f499ea1e6a8f9b"/>
    <w:p>
      <w:pPr>
        <w:pStyle w:val="Heading2"/>
      </w:pPr>
      <w:r>
        <w:t xml:space="preserve">United Kingdom London Market Analysis &amp; Strategic Outlook</w:t>
      </w:r>
    </w:p>
    <w:p>
      <w:pPr>
        <w:pStyle w:val="FirstParagraph"/>
      </w:pPr>
      <w:r>
        <w:rPr>
          <w:bCs/>
          <w:b/>
        </w:rPr>
        <w:t xml:space="preserve">Prepared For:</w:t>
      </w:r>
      <w:r>
        <w:t xml:space="preserve"> </w:t>
      </w:r>
      <w:r>
        <w:t xml:space="preserve">Board of Directors, London Architecture Practice</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w:t>
      </w:r>
    </w:p>
    <w:bookmarkStart w:id="20" w:name="executive-summary"/>
    <w:p>
      <w:pPr>
        <w:pStyle w:val="Heading3"/>
      </w:pPr>
      <w:r>
        <w:t xml:space="preserve">Executive Summary</w:t>
      </w:r>
    </w:p>
    <w:p>
      <w:pPr>
        <w:pStyle w:val="FirstParagraph"/>
      </w:pPr>
      <w:r>
        <w:t xml:space="preserve">This comprehensive Sales Report details the performance of our Architectural practice within the United Kingdom London market during Q3 2023. The report confirms sustained growth in premium architectural services across commercial, residential, and heritage sectors. As a leading</w:t>
      </w:r>
      <w:r>
        <w:t xml:space="preserve"> </w:t>
      </w:r>
      <w:r>
        <w:rPr>
          <w:iCs/>
          <w:i/>
        </w:rPr>
        <w:t xml:space="preserve">Architect</w:t>
      </w:r>
      <w:r>
        <w:t xml:space="preserve"> </w:t>
      </w:r>
      <w:r>
        <w:t xml:space="preserve">firm operating exclusively in London and serving clients across the United Kingdom, we achieved a 14.7% year-over-year increase in project pipeline value, exceeding our Q3 targets by 8.2%. This growth solidifies our position as a market leader for innovative</w:t>
      </w:r>
      <w:r>
        <w:t xml:space="preserve"> </w:t>
      </w:r>
      <w:r>
        <w:rPr>
          <w:iCs/>
          <w:i/>
        </w:rPr>
        <w:t xml:space="preserve">Architect</w:t>
      </w:r>
      <w:r>
        <w:t xml:space="preserve">-led design solutions within the dynamic urban environment of</w:t>
      </w:r>
      <w:r>
        <w:t xml:space="preserve"> </w:t>
      </w:r>
      <w:r>
        <w:rPr>
          <w:bCs/>
          <w:b/>
        </w:rPr>
        <w:t xml:space="preserve">United Kingdom London</w:t>
      </w:r>
      <w:r>
        <w:t xml:space="preserve">.</w:t>
      </w:r>
    </w:p>
    <w:bookmarkEnd w:id="20"/>
    <w:bookmarkStart w:id="21" w:name="X9ea6673c11f723b02ae8a6d4f2897c0478b21fe"/>
    <w:p>
      <w:pPr>
        <w:pStyle w:val="Heading3"/>
      </w:pPr>
      <w:r>
        <w:t xml:space="preserve">London Market Analysis: The Architect's Opportunity</w:t>
      </w:r>
    </w:p>
    <w:p>
      <w:pPr>
        <w:pStyle w:val="FirstParagraph"/>
      </w:pPr>
      <w:r>
        <w:t xml:space="preserve">The contemporary architectural landscape in</w:t>
      </w:r>
      <w:r>
        <w:t xml:space="preserve"> </w:t>
      </w:r>
      <w:r>
        <w:rPr>
          <w:bCs/>
          <w:b/>
        </w:rPr>
        <w:t xml:space="preserve">United Kingdom London</w:t>
      </w:r>
      <w:r>
        <w:t xml:space="preserve"> </w:t>
      </w:r>
      <w:r>
        <w:t xml:space="preserve">presents significant opportunities driven by stringent sustainability mandates (Net Zero 2050), regeneration projects (e.g., Old Oak Common, Thames Tideway Tunnel), and a surge in high-value residential development. As a licensed</w:t>
      </w:r>
      <w:r>
        <w:t xml:space="preserve"> </w:t>
      </w:r>
      <w:r>
        <w:rPr>
          <w:iCs/>
          <w:i/>
        </w:rPr>
        <w:t xml:space="preserve">Architect</w:t>
      </w:r>
      <w:r>
        <w:t xml:space="preserve"> </w:t>
      </w:r>
      <w:r>
        <w:t xml:space="preserve">registered with the Architects Registration Board (ARB), our deep understanding of UK planning policies, Building Regulations, and local authority requirements is paramount to client success. This report underscores how our specific London expertise directly translates into competitive advantage:</w:t>
      </w:r>
    </w:p>
    <w:p>
      <w:pPr>
        <w:numPr>
          <w:ilvl w:val="0"/>
          <w:numId w:val="1001"/>
        </w:numPr>
        <w:pStyle w:val="Compact"/>
      </w:pPr>
      <w:r>
        <w:rPr>
          <w:bCs/>
          <w:b/>
        </w:rPr>
        <w:t xml:space="preserve">Heritage Integration:</w:t>
      </w:r>
      <w:r>
        <w:t xml:space="preserve"> </w:t>
      </w:r>
      <w:r>
        <w:t xml:space="preserve">Successfully bid on three listed building conversions in Bloomsbury (e.g., Georgian townhouse restoration for a European financial firm), leveraging London-specific conservation area knowledge.</w:t>
      </w:r>
    </w:p>
    <w:p>
      <w:pPr>
        <w:numPr>
          <w:ilvl w:val="0"/>
          <w:numId w:val="1001"/>
        </w:numPr>
        <w:pStyle w:val="Compact"/>
      </w:pPr>
      <w:r>
        <w:rPr>
          <w:bCs/>
          <w:b/>
        </w:rPr>
        <w:t xml:space="preserve">Sustainability Leadership:</w:t>
      </w:r>
      <w:r>
        <w:t xml:space="preserve"> </w:t>
      </w:r>
      <w:r>
        <w:t xml:space="preserve">85% of Q3 projects achieved BREEAM Excellent or Outstanding certification, meeting UK government carbon reduction targets – a key differentiator in the London market.</w:t>
      </w:r>
    </w:p>
    <w:p>
      <w:pPr>
        <w:numPr>
          <w:ilvl w:val="0"/>
          <w:numId w:val="1001"/>
        </w:numPr>
        <w:pStyle w:val="Compact"/>
      </w:pPr>
      <w:r>
        <w:rPr>
          <w:bCs/>
          <w:b/>
        </w:rPr>
        <w:t xml:space="preserve">Commercial Demand:</w:t>
      </w:r>
      <w:r>
        <w:t xml:space="preserve"> </w:t>
      </w:r>
      <w:r>
        <w:t xml:space="preserve">72% of new contracts secured were for offices and mixed-use developments in Canary Wharf and King's Cross, reflecting London's core commercial renaissance.</w:t>
      </w:r>
    </w:p>
    <w:bookmarkEnd w:id="21"/>
    <w:bookmarkStart w:id="22" w:name="sales-performance-metrics-q3-2023"/>
    <w:p>
      <w:pPr>
        <w:pStyle w:val="Heading3"/>
      </w:pPr>
      <w:r>
        <w:t xml:space="preserve">Sales Performance Metrics: Q3 2023</w:t>
      </w:r>
    </w:p>
    <w:p>
      <w:pPr>
        <w:pStyle w:val="FirstParagraph"/>
      </w:pPr>
      <w:r>
        <w:t xml:space="preserve">The following table details key sales indicators for our London-based practice, demonstrating the direct impact of our</w:t>
      </w:r>
      <w:r>
        <w:t xml:space="preserve"> </w:t>
      </w:r>
      <w:r>
        <w:rPr>
          <w:iCs/>
          <w:i/>
        </w:rPr>
        <w:t xml:space="preserve">Architect</w:t>
      </w:r>
      <w:r>
        <w:t xml:space="preserve">'s market positioning:</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 (Actual)</w:t>
            </w:r>
          </w:p>
        </w:tc>
        <w:tc>
          <w:tcPr/>
          <w:p>
            <w:pPr>
              <w:pStyle w:val="Compact"/>
              <w:jc w:val="left"/>
            </w:pPr>
            <w:r>
              <w:t xml:space="preserve">Q3 2022 (Actual)</w:t>
            </w:r>
          </w:p>
        </w:tc>
        <w:tc>
          <w:tcPr/>
          <w:p>
            <w:pPr>
              <w:pStyle w:val="Compact"/>
              <w:jc w:val="left"/>
            </w:pPr>
            <w:r>
              <w:t xml:space="preserve">% Change</w:t>
            </w:r>
          </w:p>
        </w:tc>
      </w:tr>
      <w:tr>
        <w:tc>
          <w:tcPr/>
          <w:p>
            <w:pPr>
              <w:pStyle w:val="Compact"/>
              <w:jc w:val="left"/>
            </w:pPr>
            <w:r>
              <w:t xml:space="preserve">Total Project Value Secured</w:t>
            </w:r>
          </w:p>
        </w:tc>
        <w:tc>
          <w:tcPr/>
          <w:p>
            <w:pPr>
              <w:pStyle w:val="Compact"/>
              <w:jc w:val="left"/>
            </w:pPr>
            <w:r>
              <w:t xml:space="preserve">£18.7M</w:t>
            </w:r>
          </w:p>
        </w:tc>
        <w:tc>
          <w:tcPr/>
          <w:p>
            <w:pPr>
              <w:pStyle w:val="Compact"/>
              <w:jc w:val="left"/>
            </w:pPr>
            <w:r>
              <w:t xml:space="preserve">£16.3M</w:t>
            </w:r>
          </w:p>
        </w:tc>
        <w:tc>
          <w:tcPr/>
          <w:p>
            <w:pPr>
              <w:pStyle w:val="Compact"/>
              <w:jc w:val="left"/>
            </w:pPr>
            <w:r>
              <w:t xml:space="preserve">+14.7%</w:t>
            </w:r>
          </w:p>
        </w:tc>
      </w:tr>
      <w:tr>
        <w:tc>
          <w:tcPr/>
          <w:p>
            <w:pPr>
              <w:pStyle w:val="Compact"/>
              <w:jc w:val="left"/>
            </w:pPr>
            <w:r>
              <w:t xml:space="preserve">New Client Acquisition (London)</w:t>
            </w:r>
          </w:p>
        </w:tc>
        <w:tc>
          <w:tcPr/>
          <w:p>
            <w:pPr>
              <w:pStyle w:val="Compact"/>
              <w:jc w:val="left"/>
            </w:pPr>
            <w:r>
              <w:t xml:space="preserve">27 Clients</w:t>
            </w:r>
          </w:p>
        </w:tc>
        <w:tc>
          <w:tcPr/>
          <w:p>
            <w:pPr>
              <w:pStyle w:val="Compact"/>
              <w:jc w:val="left"/>
            </w:pPr>
            <w:r>
              <w:t xml:space="preserve">22 Clients</w:t>
            </w:r>
          </w:p>
        </w:tc>
        <w:tc>
          <w:tcPr/>
          <w:p>
            <w:pPr>
              <w:pStyle w:val="Compact"/>
              <w:jc w:val="left"/>
            </w:pPr>
            <w:r>
              <w:t xml:space="preserve">+22.7%</w:t>
            </w:r>
          </w:p>
        </w:tc>
      </w:tr>
      <w:tr>
        <w:tc>
          <w:tcPr/>
          <w:p>
            <w:pPr>
              <w:pStyle w:val="Compact"/>
              <w:jc w:val="left"/>
            </w:pPr>
            <w:r>
              <w:t xml:space="preserve">Average Project Value per Client</w:t>
            </w:r>
          </w:p>
        </w:tc>
        <w:tc>
          <w:tcPr/>
          <w:p>
            <w:pPr>
              <w:pStyle w:val="Compact"/>
              <w:jc w:val="left"/>
            </w:pPr>
            <w:r>
              <w:t xml:space="preserve">£693,000</w:t>
            </w:r>
          </w:p>
        </w:tc>
        <w:tc>
          <w:tcPr/>
          <w:p>
            <w:pPr>
              <w:pStyle w:val="Compact"/>
              <w:jc w:val="left"/>
            </w:pPr>
            <w:r>
              <w:t xml:space="preserve">£651,500</w:t>
            </w:r>
          </w:p>
        </w:tc>
        <w:tc>
          <w:tcPr/>
          <w:p>
            <w:pPr>
              <w:pStyle w:val="Compact"/>
              <w:jc w:val="left"/>
            </w:pPr>
            <w:r>
              <w:t xml:space="preserve">+6.4%</w:t>
            </w:r>
          </w:p>
        </w:tc>
      </w:tr>
      <w:tr>
        <w:tc>
          <w:tcPr/>
          <w:p>
            <w:pPr>
              <w:pStyle w:val="Compact"/>
              <w:jc w:val="left"/>
            </w:pPr>
            <w:r>
              <w:t xml:space="preserve">Sales Pipeline (Q4 2023)</w:t>
            </w:r>
          </w:p>
        </w:tc>
        <w:tc>
          <w:tcPr/>
          <w:p>
            <w:pPr>
              <w:pStyle w:val="Compact"/>
              <w:jc w:val="left"/>
            </w:pPr>
            <w:r>
              <w:t xml:space="preserve">£24.1M</w:t>
            </w:r>
          </w:p>
        </w:tc>
        <w:tc>
          <w:tcPr/>
          <w:p>
            <w:pPr>
              <w:pStyle w:val="Compact"/>
              <w:jc w:val="left"/>
            </w:pPr>
            <w:r>
              <w:t xml:space="preserve">£17.8M</w:t>
            </w:r>
          </w:p>
        </w:tc>
        <w:tc>
          <w:tcPr/>
          <w:p>
            <w:pPr>
              <w:pStyle w:val="Compact"/>
              <w:jc w:val="left"/>
            </w:pPr>
            <w:r>
              <w:t xml:space="preserve">+35.4%</w:t>
            </w:r>
          </w:p>
        </w:tc>
      </w:tr>
      <w:tr>
        <w:tc>
          <w:tcPr/>
          <w:p>
            <w:pPr>
              <w:pStyle w:val="Compact"/>
              <w:jc w:val="left"/>
            </w:pPr>
            <w:r>
              <w:t xml:space="preserve">Client Retention Rate (London)</w:t>
            </w:r>
          </w:p>
        </w:tc>
        <w:tc>
          <w:tcPr/>
          <w:p>
            <w:pPr>
              <w:pStyle w:val="Compact"/>
              <w:jc w:val="left"/>
            </w:pPr>
            <w:r>
              <w:t xml:space="preserve">92%</w:t>
            </w:r>
          </w:p>
        </w:tc>
        <w:tc>
          <w:tcPr/>
          <w:p>
            <w:pPr>
              <w:pStyle w:val="Compact"/>
              <w:jc w:val="left"/>
            </w:pPr>
            <w:r>
              <w:t xml:space="preserve">89%</w:t>
            </w:r>
          </w:p>
        </w:tc>
        <w:tc>
          <w:tcPr/>
          <w:p>
            <w:pPr>
              <w:pStyle w:val="Compact"/>
              <w:jc w:val="left"/>
            </w:pPr>
            <w:r>
              <w:t xml:space="preserve">+3.0%</w:t>
            </w:r>
          </w:p>
        </w:tc>
      </w:tr>
    </w:tbl>
    <w:p>
      <w:pPr>
        <w:pStyle w:val="BodyText"/>
      </w:pPr>
      <w:r>
        <w:rPr>
          <w:bCs/>
          <w:b/>
        </w:rPr>
        <w:t xml:space="preserve">Key Insight:</w:t>
      </w:r>
      <w:r>
        <w:t xml:space="preserve"> </w:t>
      </w:r>
      <w:r>
        <w:t xml:space="preserve">The 35.4% increase in the Q4 pipeline demonstrates exceptional sales momentum directly attributable to our focused strategy within the London market, where we maintain a 22% higher average project value compared to our UK national average.</w:t>
      </w:r>
    </w:p>
    <w:bookmarkEnd w:id="22"/>
    <w:bookmarkStart w:id="26" w:name="Xea3130194b1524b4927e6acea9ea312b0e0e203"/>
    <w:p>
      <w:pPr>
        <w:pStyle w:val="Heading3"/>
      </w:pPr>
      <w:r>
        <w:t xml:space="preserve">Strategic Focus Areas for United Kingdom London</w:t>
      </w:r>
    </w:p>
    <w:p>
      <w:pPr>
        <w:pStyle w:val="FirstParagraph"/>
      </w:pPr>
      <w:r>
        <w:t xml:space="preserve">Our sales strategy, developed specifically for the London architectural market, is driving this success:</w:t>
      </w:r>
    </w:p>
    <w:bookmarkStart w:id="23" w:name="hyper-local-expertise-as-a-sales-driver"/>
    <w:p>
      <w:pPr>
        <w:pStyle w:val="Heading4"/>
      </w:pPr>
      <w:r>
        <w:t xml:space="preserve">1. Hyper-Local Expertise as a Sales Driver</w:t>
      </w:r>
    </w:p>
    <w:p>
      <w:pPr>
        <w:pStyle w:val="FirstParagraph"/>
      </w:pPr>
      <w:r>
        <w:t xml:space="preserve">We deploy dedicated London-based teams with intimate knowledge of borough planning policies (e.g., Camden, Westminster), infrastructure constraints, and cultural context – a critical factor in winning high-stakes bids. Our</w:t>
      </w:r>
      <w:r>
        <w:t xml:space="preserve"> </w:t>
      </w:r>
      <w:r>
        <w:rPr>
          <w:iCs/>
          <w:i/>
        </w:rPr>
        <w:t xml:space="preserve">Architect</w:t>
      </w:r>
      <w:r>
        <w:t xml:space="preserve">'s ability to navigate London’s complex regulatory environment is consistently cited by clients as the primary differentiator over national firms.</w:t>
      </w:r>
    </w:p>
    <w:bookmarkEnd w:id="23"/>
    <w:bookmarkStart w:id="24" w:name="Xfff8e476b1cad65a3291588d1c49bd9cdd923c8"/>
    <w:p>
      <w:pPr>
        <w:pStyle w:val="Heading4"/>
      </w:pPr>
      <w:r>
        <w:t xml:space="preserve">2. Sustainability Integration as a Core Sales Proposition</w:t>
      </w:r>
    </w:p>
    <w:p>
      <w:pPr>
        <w:pStyle w:val="FirstParagraph"/>
      </w:pPr>
      <w:r>
        <w:t xml:space="preserve">With the UK Climate Change Act 2008 and London Plan requirements, our sales team now leads with "Net Zero by Design" packages. Q3 saw a 47% uptake in these premium services from commercial clients, directly linked to London’s mandatory Energy Performance Certificate (EPC) upgrades for offices.</w:t>
      </w:r>
    </w:p>
    <w:bookmarkEnd w:id="24"/>
    <w:bookmarkStart w:id="25" w:name="targeted-sector-specialisation"/>
    <w:p>
      <w:pPr>
        <w:pStyle w:val="Heading4"/>
      </w:pPr>
      <w:r>
        <w:t xml:space="preserve">3. Targeted Sector Specialisation</w:t>
      </w:r>
    </w:p>
    <w:p>
      <w:pPr>
        <w:pStyle w:val="FirstParagraph"/>
      </w:pPr>
      <w:r>
        <w:t xml:space="preserve">Our sales focus on three high-growth London sectors has yielded the best results:</w:t>
      </w:r>
    </w:p>
    <w:p>
      <w:pPr>
        <w:numPr>
          <w:ilvl w:val="0"/>
          <w:numId w:val="1002"/>
        </w:numPr>
        <w:pStyle w:val="Compact"/>
      </w:pPr>
      <w:r>
        <w:rPr>
          <w:bCs/>
          <w:b/>
        </w:rPr>
        <w:t xml:space="preserve">High-End Residential (32% of pipeline):</w:t>
      </w:r>
      <w:r>
        <w:t xml:space="preserve"> </w:t>
      </w:r>
      <w:r>
        <w:t xml:space="preserve">Luxury conversions in Mayfair and Shoreditch, targeting international investors.</w:t>
      </w:r>
    </w:p>
    <w:p>
      <w:pPr>
        <w:numPr>
          <w:ilvl w:val="0"/>
          <w:numId w:val="1002"/>
        </w:numPr>
        <w:pStyle w:val="Compact"/>
      </w:pPr>
      <w:r>
        <w:rPr>
          <w:bCs/>
          <w:b/>
        </w:rPr>
        <w:t xml:space="preserve">Adaptive Reuse (28% of pipeline):</w:t>
      </w:r>
      <w:r>
        <w:t xml:space="preserve"> </w:t>
      </w:r>
      <w:r>
        <w:t xml:space="preserve">Transforming former industrial sites into cultural hubs across East London, aligned with the Mayor’s Industrial Strategy.</w:t>
      </w:r>
    </w:p>
    <w:p>
      <w:pPr>
        <w:numPr>
          <w:ilvl w:val="0"/>
          <w:numId w:val="1002"/>
        </w:numPr>
        <w:pStyle w:val="Compact"/>
      </w:pPr>
      <w:r>
        <w:rPr>
          <w:bCs/>
          <w:b/>
        </w:rPr>
        <w:t xml:space="preserve">Sustainable Commercial (24% of pipeline):</w:t>
      </w:r>
      <w:r>
        <w:t xml:space="preserve"> </w:t>
      </w:r>
      <w:r>
        <w:t xml:space="preserve">BREEAM-certified office spaces for fintech firms in Tech City, EC1A.</w:t>
      </w:r>
    </w:p>
    <w:bookmarkEnd w:id="25"/>
    <w:bookmarkEnd w:id="26"/>
    <w:bookmarkStart w:id="27" w:name="challenges-mitigation-within-london"/>
    <w:p>
      <w:pPr>
        <w:pStyle w:val="Heading3"/>
      </w:pPr>
      <w:r>
        <w:t xml:space="preserve">Challenges &amp; Mitigation within London</w:t>
      </w:r>
    </w:p>
    <w:p>
      <w:pPr>
        <w:pStyle w:val="FirstParagraph"/>
      </w:pPr>
      <w:r>
        <w:t xml:space="preserve">The UK London market presents unique challenges requiring strategic sales adaptation:</w:t>
      </w:r>
    </w:p>
    <w:p>
      <w:pPr>
        <w:numPr>
          <w:ilvl w:val="0"/>
          <w:numId w:val="1003"/>
        </w:numPr>
        <w:pStyle w:val="Compact"/>
      </w:pPr>
      <w:r>
        <w:rPr>
          <w:bCs/>
          <w:b/>
        </w:rPr>
        <w:t xml:space="preserve">Competitive Bidding Pressure:</w:t>
      </w:r>
      <w:r>
        <w:t xml:space="preserve"> </w:t>
      </w:r>
      <w:r>
        <w:t xml:space="preserve">Increased competition from international firms for major schemes (e.g., the £100M Crossrail station developments). *Mitigation:* We counter this by offering "Architect-First" procurement pathways, reducing client risk and aligning with London’s preference for single-lead design teams.</w:t>
      </w:r>
    </w:p>
    <w:p>
      <w:pPr>
        <w:numPr>
          <w:ilvl w:val="0"/>
          <w:numId w:val="1003"/>
        </w:numPr>
        <w:pStyle w:val="Compact"/>
      </w:pPr>
      <w:r>
        <w:rPr>
          <w:bCs/>
          <w:b/>
        </w:rPr>
        <w:t xml:space="preserve">Supply Chain Delays:</w:t>
      </w:r>
      <w:r>
        <w:t xml:space="preserve"> </w:t>
      </w:r>
      <w:r>
        <w:t xml:space="preserve">Impacting project timelines. *Mitigation:* Our sales team now includes real-time supply chain analytics in proposals, a feature increasingly requested by London developers facing material shortages.</w:t>
      </w:r>
    </w:p>
    <w:p>
      <w:pPr>
        <w:numPr>
          <w:ilvl w:val="0"/>
          <w:numId w:val="1003"/>
        </w:numPr>
        <w:pStyle w:val="Compact"/>
      </w:pPr>
      <w:r>
        <w:rPr>
          <w:bCs/>
          <w:b/>
        </w:rPr>
        <w:t xml:space="preserve">Skill Shortages:</w:t>
      </w:r>
      <w:r>
        <w:t xml:space="preserve"> </w:t>
      </w:r>
      <w:r>
        <w:t xml:space="preserve">Scarcity of qualified UK-based Architects. *Mitigation:* We are accelerating our graduate recruitment program targeting RIBA-accredited London universities, ensuring long-term sales capability within the</w:t>
      </w:r>
      <w:r>
        <w:t xml:space="preserve"> </w:t>
      </w:r>
      <w:r>
        <w:rPr>
          <w:bCs/>
          <w:b/>
        </w:rPr>
        <w:t xml:space="preserve">United Kingdom London</w:t>
      </w:r>
      <w:r>
        <w:t xml:space="preserve"> </w:t>
      </w:r>
      <w:r>
        <w:t xml:space="preserve">ecosystem.</w:t>
      </w:r>
    </w:p>
    <w:bookmarkEnd w:id="27"/>
    <w:bookmarkStart w:id="28" w:name="conclusion-strategic-recommendations"/>
    <w:p>
      <w:pPr>
        <w:pStyle w:val="Heading3"/>
      </w:pPr>
      <w:r>
        <w:t xml:space="preserve">Conclusion &amp; Strategic Recommendations</w:t>
      </w:r>
    </w:p>
    <w:p>
      <w:pPr>
        <w:pStyle w:val="FirstParagraph"/>
      </w:pPr>
      <w:r>
        <w:t xml:space="preserve">This Sales Report confirms that our focused strategy as a dedicated London-based Architect practice is delivering exceptional results within the United Kingdom market. The Q3 performance validates our investment in hyper-local expertise and sustainability integration as core sales drivers. To capitalise on this momentum, we recommend:</w:t>
      </w:r>
    </w:p>
    <w:p>
      <w:pPr>
        <w:numPr>
          <w:ilvl w:val="0"/>
          <w:numId w:val="1004"/>
        </w:numPr>
        <w:pStyle w:val="Compact"/>
      </w:pPr>
      <w:r>
        <w:rPr>
          <w:bCs/>
          <w:b/>
        </w:rPr>
        <w:t xml:space="preserve">Expand London Office Footprint:</w:t>
      </w:r>
      <w:r>
        <w:t xml:space="preserve"> </w:t>
      </w:r>
      <w:r>
        <w:t xml:space="preserve">Establish a satellite design studio in the City of London to further enhance client accessibility within the UK's financial hub.</w:t>
      </w:r>
    </w:p>
    <w:p>
      <w:pPr>
        <w:numPr>
          <w:ilvl w:val="0"/>
          <w:numId w:val="1004"/>
        </w:numPr>
        <w:pStyle w:val="Compact"/>
      </w:pPr>
      <w:r>
        <w:rPr>
          <w:bCs/>
          <w:b/>
        </w:rPr>
        <w:t xml:space="preserve">Launch "London Design Council" Initiative:</w:t>
      </w:r>
      <w:r>
        <w:t xml:space="preserve"> </w:t>
      </w:r>
      <w:r>
        <w:t xml:space="preserve">Partner with local authorities to host quarterly sustainability workshops, positioning our firm as a thought leader and generating qualified leads.</w:t>
      </w:r>
    </w:p>
    <w:p>
      <w:pPr>
        <w:numPr>
          <w:ilvl w:val="0"/>
          <w:numId w:val="1004"/>
        </w:numPr>
        <w:pStyle w:val="Compact"/>
      </w:pPr>
      <w:r>
        <w:rPr>
          <w:bCs/>
          <w:b/>
        </w:rPr>
        <w:t xml:space="preserve">Prioritise Digital Sales Enablement:</w:t>
      </w:r>
      <w:r>
        <w:t xml:space="preserve"> </w:t>
      </w:r>
      <w:r>
        <w:t xml:space="preserve">Develop an interactive online platform showcasing London-specific case studies (e.g., "St Pancras Renovation: BREEAM Excellence in a Historic Setting") to accelerate client acquisition.</w:t>
      </w:r>
    </w:p>
    <w:p>
      <w:pPr>
        <w:pStyle w:val="FirstParagraph"/>
      </w:pPr>
      <w:r>
        <w:t xml:space="preserve">The future of architectural sales in the United Kingdom London is defined by deep local knowledge, regulatory mastery, and sustainability leadership – all areas where our firm excels. By doubling down on these strengths as we transition into Q4 2023, we project a minimum 18% YoY growth for the full year, reinforcing our status as the premier Architect practice serving London’s evolving urban landscape.</w:t>
      </w:r>
    </w:p>
    <w:bookmarkEnd w:id="28"/>
    <w:p>
      <w:pPr>
        <w:pStyle w:val="BodyText"/>
      </w:pPr>
      <w:r>
        <w:t xml:space="preserve">Report Prepared By: Sales &amp; Strategy Department | London Architecture Practice Ltd.</w:t>
      </w:r>
      <w:r>
        <w:br/>
      </w:r>
      <w:r>
        <w:t xml:space="preserve">Registered in England and Wales (Company No. 12345678) | ARB Registered Architectural Practice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Architectural Services Sales Report | United Kingdom</dc:title>
  <dc:creator/>
  <dc:language>en</dc:language>
  <cp:keywords/>
  <dcterms:created xsi:type="dcterms:W3CDTF">2026-07-23T16:23:05Z</dcterms:created>
  <dcterms:modified xsi:type="dcterms:W3CDTF">2026-07-23T16:23:05Z</dcterms:modified>
</cp:coreProperties>
</file>

<file path=docProps/custom.xml><?xml version="1.0" encoding="utf-8"?>
<Properties xmlns="http://schemas.openxmlformats.org/officeDocument/2006/custom-properties" xmlns:vt="http://schemas.openxmlformats.org/officeDocument/2006/docPropsVTypes"/>
</file>