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Architectural</w:t>
      </w:r>
      <w:r>
        <w:t xml:space="preserve"> </w:t>
      </w:r>
      <w:r>
        <w:t xml:space="preserve">Sales</w:t>
      </w:r>
      <w:r>
        <w:t xml:space="preserve"> </w:t>
      </w:r>
      <w:r>
        <w:t xml:space="preserve">Report:</w:t>
      </w:r>
      <w:r>
        <w:t xml:space="preserve"> </w:t>
      </w:r>
      <w:r>
        <w:t xml:space="preserve">United</w:t>
      </w:r>
      <w:r>
        <w:t xml:space="preserve"> </w:t>
      </w:r>
      <w:r>
        <w:t xml:space="preserve">Kingdom</w:t>
      </w:r>
      <w:r>
        <w:t xml:space="preserve"> </w:t>
      </w:r>
      <w:r>
        <w:t xml:space="preserve">Manchester</w:t>
      </w:r>
      <w:r>
        <w:t xml:space="preserve"> </w:t>
      </w:r>
      <w:r>
        <w:t xml:space="preserve">Market</w:t>
      </w:r>
      <w:r>
        <w:t xml:space="preserve"> </w:t>
      </w:r>
      <w:r>
        <w:t xml:space="preserve">Performance</w:t>
      </w:r>
    </w:p>
    <w:bookmarkStart w:id="28" w:name="Xe7c9393ec8eb6c027f12710cf647b56761f7755"/>
    <w:p>
      <w:pPr>
        <w:pStyle w:val="Heading1"/>
      </w:pPr>
      <w:r>
        <w:t xml:space="preserve">Sales Report: Architectural Services Performance Analysis - United Kingdom Manchester</w:t>
      </w:r>
    </w:p>
    <w:bookmarkStart w:id="20" w:name="executive-summary"/>
    <w:p>
      <w:pPr>
        <w:pStyle w:val="Heading2"/>
      </w:pPr>
      <w:r>
        <w:t xml:space="preserve">Executive Summary</w:t>
      </w:r>
    </w:p>
    <w:p>
      <w:pPr>
        <w:pStyle w:val="FirstParagraph"/>
      </w:pPr>
      <w:r>
        <w:t xml:space="preserve">This comprehensive Sales Report details the performance of our architectural practice across the dynamic market landscape of United Kingdom Manchester during Q1-Q3 2023. As a premier design firm serving Greater Manchester, we have achieved remarkable growth in commissioned projects, with revenue increasing by 18.7% year-on-year. This success underscores our strategic positioning as an innovative</w:t>
      </w:r>
      <w:r>
        <w:t xml:space="preserve"> </w:t>
      </w:r>
      <w:r>
        <w:rPr>
          <w:bCs/>
          <w:b/>
        </w:rPr>
        <w:t xml:space="preserve">Architect</w:t>
      </w:r>
      <w:r>
        <w:t xml:space="preserve"> </w:t>
      </w:r>
      <w:r>
        <w:t xml:space="preserve">partner for both private developers and public sector clients across the city's evolving urban fabric. The report analyses market trends, client acquisition metrics, project delivery outcomes, and future growth pathways specific to Manchester's unique regeneration initiatives.</w:t>
      </w:r>
    </w:p>
    <w:bookmarkEnd w:id="20"/>
    <w:bookmarkStart w:id="21" w:name="X150bbc4e4f71a7186e633a30c887fe6545aafe9"/>
    <w:p>
      <w:pPr>
        <w:pStyle w:val="Heading2"/>
      </w:pPr>
      <w:r>
        <w:t xml:space="preserve">Market Context: Manchester as a Growth Engine</w:t>
      </w:r>
    </w:p>
    <w:p>
      <w:pPr>
        <w:pStyle w:val="FirstParagraph"/>
      </w:pPr>
      <w:r>
        <w:t xml:space="preserve">Manchester continues to solidify its position as the UK's second-largest commercial property hub outside London. Recent data from the Manchester City Council reveals £3.8 billion in ongoing construction projects across 50+ major developments, including the transformative Northern Powerhouse initiative and the £1bn Manchester Airport expansion. This thriving environment presents exceptional opportunities for a forward-thinking</w:t>
      </w:r>
      <w:r>
        <w:t xml:space="preserve"> </w:t>
      </w:r>
      <w:r>
        <w:rPr>
          <w:bCs/>
          <w:b/>
        </w:rPr>
        <w:t xml:space="preserve">Architect</w:t>
      </w:r>
      <w:r>
        <w:t xml:space="preserve"> </w:t>
      </w:r>
      <w:r>
        <w:t xml:space="preserve">practice committed to sustainable urban design. Our Sales Report confirms that 74% of new client acquisition originates from Manchester-based entities, reflecting strong regional market confidence in our firm's capabilities.</w:t>
      </w:r>
    </w:p>
    <w:bookmarkEnd w:id="21"/>
    <w:bookmarkStart w:id="22" w:name="Xaa2ebf9128bc6ad48a2e8e2c4c95e890abb283a"/>
    <w:p>
      <w:pPr>
        <w:pStyle w:val="Heading2"/>
      </w:pPr>
      <w:r>
        <w:t xml:space="preserve">Sales Performance Breakdown: United Kingdom Manchester Focus</w:t>
      </w:r>
    </w:p>
    <w:p>
      <w:pPr>
        <w:pStyle w:val="FirstParagraph"/>
      </w:pPr>
      <w:r>
        <w:t xml:space="preserve">Our Q1-Q3 2023 sales results demonstrate exceptional momentum in the United Kingdom Manchester market:</w:t>
      </w:r>
    </w:p>
    <w:p>
      <w:pPr>
        <w:numPr>
          <w:ilvl w:val="0"/>
          <w:numId w:val="1001"/>
        </w:numPr>
        <w:pStyle w:val="Compact"/>
      </w:pPr>
      <w:r>
        <w:rPr>
          <w:bCs/>
          <w:b/>
        </w:rPr>
        <w:t xml:space="preserve">Project Pipeline Growth:</w:t>
      </w:r>
      <w:r>
        <w:t xml:space="preserve"> </w:t>
      </w:r>
      <w:r>
        <w:t xml:space="preserve">47 new architectural commissions secured (vs. 38 in same period 2022), representing a 23.7% increase</w:t>
      </w:r>
    </w:p>
    <w:p>
      <w:pPr>
        <w:numPr>
          <w:ilvl w:val="0"/>
          <w:numId w:val="1001"/>
        </w:numPr>
        <w:pStyle w:val="Compact"/>
      </w:pPr>
      <w:r>
        <w:rPr>
          <w:bCs/>
          <w:b/>
        </w:rPr>
        <w:t xml:space="preserve">Revenue Composition:</w:t>
      </w:r>
      <w:r>
        <w:t xml:space="preserve"> </w:t>
      </w:r>
      <w:r>
        <w:t xml:space="preserve">Commercial projects (58%), Residential Developments (29%), Public Sector Works (13%)</w:t>
      </w:r>
    </w:p>
    <w:p>
      <w:pPr>
        <w:numPr>
          <w:ilvl w:val="0"/>
          <w:numId w:val="1001"/>
        </w:numPr>
        <w:pStyle w:val="Compact"/>
      </w:pPr>
      <w:r>
        <w:rPr>
          <w:bCs/>
          <w:b/>
        </w:rPr>
        <w:t xml:space="preserve">Key Clients Acquired:</w:t>
      </w:r>
      <w:r>
        <w:t xml:space="preserve"> </w:t>
      </w:r>
      <w:r>
        <w:t xml:space="preserve">Manchester City Council, Peel Holdings, Mancunian Group, and five new SME property developers</w:t>
      </w:r>
    </w:p>
    <w:p>
      <w:pPr>
        <w:numPr>
          <w:ilvl w:val="0"/>
          <w:numId w:val="1001"/>
        </w:numPr>
        <w:pStyle w:val="Compact"/>
      </w:pPr>
      <w:r>
        <w:rPr>
          <w:bCs/>
          <w:b/>
        </w:rPr>
        <w:t xml:space="preserve">Geographic Spread:</w:t>
      </w:r>
      <w:r>
        <w:t xml:space="preserve"> </w:t>
      </w:r>
      <w:r>
        <w:t xml:space="preserve">68% of projects concentrated in Central Manchester regeneration zones (Rusholme, Castlefield, Ancoats), 22% in Greater Manchester boroughs (Salford, Trafford)</w:t>
      </w:r>
    </w:p>
    <w:p>
      <w:pPr>
        <w:pStyle w:val="FirstParagraph"/>
      </w:pPr>
      <w:r>
        <w:t xml:space="preserve">Notably, our flagship project—designing the new £75M Riverside Community Hub for Manchester City Council—secured a £4.2M contract in Q2, demonstrating our ability to win high-value public sector mandates. This project exemplifies how our</w:t>
      </w:r>
      <w:r>
        <w:t xml:space="preserve"> </w:t>
      </w:r>
      <w:r>
        <w:rPr>
          <w:bCs/>
          <w:b/>
        </w:rPr>
        <w:t xml:space="preserve">Architect</w:t>
      </w:r>
      <w:r>
        <w:t xml:space="preserve"> </w:t>
      </w:r>
      <w:r>
        <w:t xml:space="preserve">team integrates community engagement with cutting-edge sustainable design, directly addressing Manchester's "Climate Action Plan" objectives.</w:t>
      </w:r>
    </w:p>
    <w:bookmarkEnd w:id="22"/>
    <w:bookmarkStart w:id="23" w:name="X51a71dc163c390f78bfd944dd7080a24739fbd8"/>
    <w:p>
      <w:pPr>
        <w:pStyle w:val="Heading2"/>
      </w:pPr>
      <w:r>
        <w:t xml:space="preserve">Client Acquisition Strategy &amp; Market Positioning</w:t>
      </w:r>
    </w:p>
    <w:p>
      <w:pPr>
        <w:pStyle w:val="FirstParagraph"/>
      </w:pPr>
      <w:r>
        <w:t xml:space="preserve">The Sales Report highlights our targeted approach to Manchester's competitive market. We've implemented a dual-track strategy:</w:t>
      </w:r>
    </w:p>
    <w:p>
      <w:pPr>
        <w:numPr>
          <w:ilvl w:val="0"/>
          <w:numId w:val="1002"/>
        </w:numPr>
        <w:pStyle w:val="Compact"/>
      </w:pPr>
      <w:r>
        <w:rPr>
          <w:bCs/>
          <w:b/>
        </w:rPr>
        <w:t xml:space="preserve">Niche Specialization:</w:t>
      </w:r>
      <w:r>
        <w:t xml:space="preserve"> </w:t>
      </w:r>
      <w:r>
        <w:t xml:space="preserve">Focusing on adaptive reuse projects (e.g., converting industrial warehouses into mixed-use spaces) where Manchester has 42% of UK's active conversion projects according to Urban Land Institute data</w:t>
      </w:r>
    </w:p>
    <w:p>
      <w:pPr>
        <w:numPr>
          <w:ilvl w:val="0"/>
          <w:numId w:val="1002"/>
        </w:numPr>
        <w:pStyle w:val="Compact"/>
      </w:pPr>
      <w:r>
        <w:rPr>
          <w:bCs/>
          <w:b/>
        </w:rPr>
        <w:t xml:space="preserve">Strengthened Local Partnerships:</w:t>
      </w:r>
      <w:r>
        <w:t xml:space="preserve"> </w:t>
      </w:r>
      <w:r>
        <w:t xml:space="preserve">Collaborating with Manchester Chamber of Commerce and University of Manchester's Architecture Department for co-branded workshops on "Regeneration through Design"</w:t>
      </w:r>
    </w:p>
    <w:p>
      <w:pPr>
        <w:pStyle w:val="FirstParagraph"/>
      </w:pPr>
      <w:r>
        <w:t xml:space="preserve">This strategy yielded a 32% higher client retention rate compared to national industry averages. The report cites the £12M Chorlton Street residential scheme as a prime example, where repeat business from a Manchester-based developer generated £850k in follow-on consultancy services.</w:t>
      </w:r>
    </w:p>
    <w:bookmarkEnd w:id="23"/>
    <w:bookmarkStart w:id="24" w:name="client-feedback-value-proposition"/>
    <w:p>
      <w:pPr>
        <w:pStyle w:val="Heading2"/>
      </w:pPr>
      <w:r>
        <w:t xml:space="preserve">Client Feedback &amp; Value Proposition</w:t>
      </w:r>
    </w:p>
    <w:p>
      <w:pPr>
        <w:pStyle w:val="FirstParagraph"/>
      </w:pPr>
      <w:r>
        <w:t xml:space="preserve">Our Q3 client satisfaction survey (94% response rate) reveals critical insights for the United Kingdom Manchester market:</w:t>
      </w:r>
    </w:p>
    <w:p>
      <w:pPr>
        <w:pStyle w:val="BlockText"/>
      </w:pPr>
      <w:r>
        <w:t xml:space="preserve">"Working with this</w:t>
      </w:r>
      <w:r>
        <w:t xml:space="preserve"> </w:t>
      </w:r>
      <w:r>
        <w:rPr>
          <w:bCs/>
          <w:b/>
        </w:rPr>
        <w:t xml:space="preserve">Architect</w:t>
      </w:r>
      <w:r>
        <w:t xml:space="preserve">'s team was transformative. Their understanding of Manchester's unique urban challenges—from heritage constraints to flooding risks—saved us 18 months in planning approval." — Director, Salford Property Group</w:t>
      </w:r>
    </w:p>
    <w:p>
      <w:pPr>
        <w:pStyle w:val="FirstParagraph"/>
      </w:pPr>
      <w:r>
        <w:t xml:space="preserve">Key differentiators identified by Manchester clients include:</w:t>
      </w:r>
    </w:p>
    <w:p>
      <w:pPr>
        <w:numPr>
          <w:ilvl w:val="0"/>
          <w:numId w:val="1003"/>
        </w:numPr>
        <w:pStyle w:val="Compact"/>
      </w:pPr>
      <w:r>
        <w:t xml:space="preserve">Local regulatory expertise (especially with Greater Manchester Combined Authority guidelines)</w:t>
      </w:r>
    </w:p>
    <w:p>
      <w:pPr>
        <w:numPr>
          <w:ilvl w:val="0"/>
          <w:numId w:val="1003"/>
        </w:numPr>
        <w:pStyle w:val="Compact"/>
      </w:pPr>
      <w:r>
        <w:t xml:space="preserve">Prioritization of community impact metrics in design proposals</w:t>
      </w:r>
    </w:p>
    <w:p>
      <w:pPr>
        <w:numPr>
          <w:ilvl w:val="0"/>
          <w:numId w:val="1003"/>
        </w:numPr>
        <w:pStyle w:val="Compact"/>
      </w:pPr>
      <w:r>
        <w:t xml:space="preserve">Digital collaboration tools tailored for remote client meetings across the city's commuter zones</w:t>
      </w:r>
    </w:p>
    <w:bookmarkEnd w:id="24"/>
    <w:bookmarkStart w:id="25" w:name="X0773dbe3caee156a3654b81f0f37926383834f7"/>
    <w:p>
      <w:pPr>
        <w:pStyle w:val="Heading2"/>
      </w:pPr>
      <w:r>
        <w:t xml:space="preserve">Challenges in United Kingdom Manchester Market</w:t>
      </w:r>
    </w:p>
    <w:p>
      <w:pPr>
        <w:pStyle w:val="FirstParagraph"/>
      </w:pPr>
      <w:r>
        <w:t xml:space="preserve">The Sales Report acknowledges emerging challenges specific to Manchester:</w:t>
      </w:r>
    </w:p>
    <w:p>
      <w:pPr>
        <w:numPr>
          <w:ilvl w:val="0"/>
          <w:numId w:val="1004"/>
        </w:numPr>
        <w:pStyle w:val="Compact"/>
      </w:pPr>
      <w:r>
        <w:rPr>
          <w:bCs/>
          <w:b/>
        </w:rPr>
        <w:t xml:space="preserve">Supply Chain Delays:</w:t>
      </w:r>
      <w:r>
        <w:t xml:space="preserve"> </w:t>
      </w:r>
      <w:r>
        <w:t xml:space="preserve">63% of projects experienced material cost fluctuations due to post-Brexit trade complexities, impacting Q2 project margins by 7%</w:t>
      </w:r>
    </w:p>
    <w:p>
      <w:pPr>
        <w:numPr>
          <w:ilvl w:val="0"/>
          <w:numId w:val="1004"/>
        </w:numPr>
        <w:pStyle w:val="Compact"/>
      </w:pPr>
      <w:r>
        <w:rPr>
          <w:bCs/>
          <w:b/>
        </w:rPr>
        <w:t xml:space="preserve">Talent Competition:</w:t>
      </w:r>
      <w:r>
        <w:t xml:space="preserve"> </w:t>
      </w:r>
      <w:r>
        <w:t xml:space="preserve">Intense rivalry with London-based firms for specialist architects, requiring enhanced retention packages</w:t>
      </w:r>
    </w:p>
    <w:p>
      <w:pPr>
        <w:numPr>
          <w:ilvl w:val="0"/>
          <w:numId w:val="1004"/>
        </w:numPr>
        <w:pStyle w:val="Compact"/>
      </w:pPr>
      <w:r>
        <w:rPr>
          <w:bCs/>
          <w:b/>
        </w:rPr>
        <w:t xml:space="preserve">Planning Policy Shifts:</w:t>
      </w:r>
      <w:r>
        <w:t xml:space="preserve"> </w:t>
      </w:r>
      <w:r>
        <w:t xml:space="preserve">Rapid changes to Manchester's "City Design Framework" necessitating weekly team briefings</w:t>
      </w:r>
    </w:p>
    <w:p>
      <w:pPr>
        <w:pStyle w:val="FirstParagraph"/>
      </w:pPr>
      <w:r>
        <w:t xml:space="preserve">To counter these, we've established a dedicated Manchester Policy Intelligence Unit within our firm—proving essential for navigating the city's evolving planning landscape as outlined in the 2023 City Plan update.</w:t>
      </w:r>
    </w:p>
    <w:bookmarkEnd w:id="25"/>
    <w:bookmarkStart w:id="26" w:name="future-outlook-strategic-imperatives"/>
    <w:p>
      <w:pPr>
        <w:pStyle w:val="Heading2"/>
      </w:pPr>
      <w:r>
        <w:t xml:space="preserve">Future Outlook &amp; Strategic Imperatives</w:t>
      </w:r>
    </w:p>
    <w:p>
      <w:pPr>
        <w:pStyle w:val="FirstParagraph"/>
      </w:pPr>
      <w:r>
        <w:t xml:space="preserve">Based on current sales momentum and Manchester's projected growth trajectory, this Sales Report recommends:</w:t>
      </w:r>
    </w:p>
    <w:p>
      <w:pPr>
        <w:numPr>
          <w:ilvl w:val="0"/>
          <w:numId w:val="1005"/>
        </w:numPr>
        <w:pStyle w:val="Compact"/>
      </w:pPr>
      <w:r>
        <w:rPr>
          <w:bCs/>
          <w:b/>
        </w:rPr>
        <w:t xml:space="preserve">Expand Public Sector Division:</w:t>
      </w:r>
      <w:r>
        <w:t xml:space="preserve"> </w:t>
      </w:r>
      <w:r>
        <w:t xml:space="preserve">Target 30% of new revenue from Manchester City Council-led projects by 2025, aligned with the "Greater Manchester Spatial Framework"</w:t>
      </w:r>
    </w:p>
    <w:p>
      <w:pPr>
        <w:numPr>
          <w:ilvl w:val="0"/>
          <w:numId w:val="1005"/>
        </w:numPr>
        <w:pStyle w:val="Compact"/>
      </w:pPr>
      <w:r>
        <w:rPr>
          <w:bCs/>
          <w:b/>
        </w:rPr>
        <w:t xml:space="preserve">Develop Sustainable Design Hub:</w:t>
      </w:r>
      <w:r>
        <w:t xml:space="preserve"> </w:t>
      </w:r>
      <w:r>
        <w:t xml:space="preserve">Establish a dedicated UK Manchester facility focused on circular economy materials, responding to the city's net-zero 2038 target</w:t>
      </w:r>
    </w:p>
    <w:p>
      <w:pPr>
        <w:numPr>
          <w:ilvl w:val="0"/>
          <w:numId w:val="1005"/>
        </w:numPr>
        <w:pStyle w:val="Compact"/>
      </w:pPr>
      <w:r>
        <w:rPr>
          <w:bCs/>
          <w:b/>
        </w:rPr>
        <w:t xml:space="preserve">Invest in Digital Twin Technology:</w:t>
      </w:r>
      <w:r>
        <w:t xml:space="preserve"> </w:t>
      </w:r>
      <w:r>
        <w:t xml:space="preserve">Allocate £150k to develop Manchester-specific urban simulation tools for client presentations</w:t>
      </w:r>
    </w:p>
    <w:p>
      <w:pPr>
        <w:pStyle w:val="FirstParagraph"/>
      </w:pPr>
      <w:r>
        <w:t xml:space="preserve">The report forecasts 25% sales growth in United Kingdom Manchester by Q4 2024, driven by upcoming infrastructure projects like the East Manchester Line extension and the proposed "Manchester Design Quarter" cultural hub.</w:t>
      </w:r>
    </w:p>
    <w:bookmarkEnd w:id="26"/>
    <w:bookmarkStart w:id="27" w:name="X1ac344c0a04a5e5ebe965197b3259a99045d8be"/>
    <w:p>
      <w:pPr>
        <w:pStyle w:val="Heading2"/>
      </w:pPr>
      <w:r>
        <w:t xml:space="preserve">Conclusion: Architectural Leadership in a Transformative City</w:t>
      </w:r>
    </w:p>
    <w:p>
      <w:pPr>
        <w:pStyle w:val="FirstParagraph"/>
      </w:pPr>
      <w:r>
        <w:t xml:space="preserve">This Sales Report affirms that our firm is not merely providing architectural services in Manchester—it is actively shaping the city's built environment. The 18.7% revenue growth demonstrates how deeply we've integrated with Manchester's regeneration narrative as a trusted</w:t>
      </w:r>
      <w:r>
        <w:t xml:space="preserve"> </w:t>
      </w:r>
      <w:r>
        <w:rPr>
          <w:bCs/>
          <w:b/>
        </w:rPr>
        <w:t xml:space="preserve">Architect</w:t>
      </w:r>
      <w:r>
        <w:t xml:space="preserve"> </w:t>
      </w:r>
      <w:r>
        <w:t xml:space="preserve">partner. As the United Kingdom continues to prioritize regional economic development, our commitment to Manchester-based innovation positions us for sustained market leadership.</w:t>
      </w:r>
    </w:p>
    <w:p>
      <w:pPr>
        <w:pStyle w:val="BodyText"/>
      </w:pPr>
      <w:r>
        <w:t xml:space="preserve">We remain steadfast in our mission: to deliver architecture that doesn't just respond to Manchester's needs, but anticipates them. The data confirms that clients across Greater Manchester are recognizing this value—evidenced by the 40% increase in inbound leads from local businesses. This Sales Report serves as both a testament to our current achievements and a blueprint for becoming the definitive architectural firm for United Kingdom Manchester's next chapter of growth.</w:t>
      </w:r>
    </w:p>
    <w:p>
      <w:pPr>
        <w:pStyle w:val="BodyText"/>
      </w:pPr>
      <w:r>
        <w:rPr>
          <w:iCs/>
          <w:i/>
        </w:rPr>
        <w:t xml:space="preserve">Prepared by: [Firm Name] Commercial Strategy Team | Date: October 26, 2023 | Confidential - For Internal Use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Architectural Sales Report: United Kingdom Manchester Market Performance</dc:title>
  <dc:creator/>
  <dc:language>en</dc:language>
  <cp:keywords/>
  <dcterms:created xsi:type="dcterms:W3CDTF">2026-07-23T10:17:23Z</dcterms:created>
  <dcterms:modified xsi:type="dcterms:W3CDTF">2026-07-23T10:17:23Z</dcterms:modified>
</cp:coreProperties>
</file>

<file path=docProps/custom.xml><?xml version="1.0" encoding="utf-8"?>
<Properties xmlns="http://schemas.openxmlformats.org/officeDocument/2006/custom-properties" xmlns:vt="http://schemas.openxmlformats.org/officeDocument/2006/docPropsVTypes"/>
</file>