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6" w:name="Xf000dca3222a457dc8a65eee56b29013350775a"/>
    <w:p>
      <w:pPr>
        <w:pStyle w:val="Heading1"/>
      </w:pPr>
      <w:r>
        <w:t xml:space="preserve">Q4 2023 Sales Report | Architectural Services Performance in United States Chicago</w:t>
      </w:r>
    </w:p>
    <w:p>
      <w:pPr>
        <w:pStyle w:val="FirstParagraph"/>
      </w:pPr>
      <w:r>
        <w:t xml:space="preserve">This comprehensive</w:t>
      </w:r>
      <w:r>
        <w:t xml:space="preserve"> </w:t>
      </w:r>
      <w:r>
        <w:rPr>
          <w:bCs/>
          <w:b/>
        </w:rPr>
        <w:t xml:space="preserve">Sales Report</w:t>
      </w:r>
      <w:r>
        <w:t xml:space="preserve"> </w:t>
      </w:r>
      <w:r>
        <w:t xml:space="preserve">details the performance of our architectural services firm across the dynamic United States Chicago market during the final quarter of 2023. As a leading architectural practice deeply embedded in Chicago's evolving urban landscape, we have witnessed significant shifts in client demand, project complexity, and economic conditions that directly impact our business trajectory. This document serves as a strategic analysis for stakeholders, highlighting key achievements, market trends specific to</w:t>
      </w:r>
      <w:r>
        <w:t xml:space="preserve"> </w:t>
      </w:r>
      <w:r>
        <w:rPr>
          <w:bCs/>
          <w:b/>
        </w:rPr>
        <w:t xml:space="preserve">United States Chicago</w:t>
      </w:r>
      <w:r>
        <w:t xml:space="preserve">, and the critical role of our</w:t>
      </w:r>
      <w:r>
        <w:t xml:space="preserve"> </w:t>
      </w:r>
      <w:r>
        <w:rPr>
          <w:bCs/>
          <w:b/>
        </w:rPr>
        <w:t xml:space="preserve">Architect</w:t>
      </w:r>
      <w:r>
        <w:t xml:space="preserve">-driven solutions in securing sustainable growth.</w:t>
      </w:r>
    </w:p>
    <w:bookmarkStart w:id="20" w:name="Xa684345a05f5c8ba64825058ab0b3d2ac2be75f"/>
    <w:p>
      <w:pPr>
        <w:pStyle w:val="Heading2"/>
      </w:pPr>
      <w:r>
        <w:t xml:space="preserve">Executive Summary: Architectural Sales Momentum in Chicago's Competitive Market</w:t>
      </w:r>
    </w:p>
    <w:p>
      <w:pPr>
        <w:pStyle w:val="FirstParagraph"/>
      </w:pPr>
      <w:r>
        <w:t xml:space="preserve">The fourth quarter of 2023 marked a period of robust growth for our architectural services division within the</w:t>
      </w:r>
      <w:r>
        <w:t xml:space="preserve"> </w:t>
      </w:r>
      <w:r>
        <w:rPr>
          <w:bCs/>
          <w:b/>
        </w:rPr>
        <w:t xml:space="preserve">United States Chicago</w:t>
      </w:r>
      <w:r>
        <w:t xml:space="preserve"> </w:t>
      </w:r>
      <w:r>
        <w:t xml:space="preserve">market. Total sales revenue reached $4.75M, representing a 19% increase year-over-year and surpassing Q3 by 12%. This performance underscores the continued demand for innovative, high-performance design solutions in one of America's most architecturally rich cities. The success was driven by strategic wins in commercial mixed-use developments, sustainable residential complexes, and adaptive reuse projects – all reflecting Chicago’s current market priorities. Our ability to deliver exceptional value as a trusted</w:t>
      </w:r>
      <w:r>
        <w:t xml:space="preserve"> </w:t>
      </w:r>
      <w:r>
        <w:rPr>
          <w:bCs/>
          <w:b/>
        </w:rPr>
        <w:t xml:space="preserve">Architect</w:t>
      </w:r>
      <w:r>
        <w:t xml:space="preserve"> </w:t>
      </w:r>
      <w:r>
        <w:t xml:space="preserve">was central to closing these key accounts.</w:t>
      </w:r>
    </w:p>
    <w:bookmarkEnd w:id="20"/>
    <w:bookmarkStart w:id="21" w:name="Xa7e25af4ed2b6f9c2cf8981157517f904dee023"/>
    <w:p>
      <w:pPr>
        <w:pStyle w:val="Heading2"/>
      </w:pPr>
      <w:r>
        <w:t xml:space="preserve">Market Analysis: Chicago's Architectural Landscape in Q4 2023</w:t>
      </w:r>
    </w:p>
    <w:p>
      <w:pPr>
        <w:pStyle w:val="FirstParagraph"/>
      </w:pPr>
      <w:r>
        <w:t xml:space="preserve">Chicago’s real estate market demonstrated resilience despite national economic headwinds. According to the Chicago Association of Commerce and Industry (CACI), commercial leasing activity increased by 8.5% in Q4, with downtown office demand driven by corporate relocations and tech-sector expansion. Residential construction remained strong, particularly in neighborhoods like River North, West Loop, and South Loop where infill projects targeting high-end renters were prevalent. The city’s aggressive sustainability mandates – including the 2030 Climate Action Plan requiring all new municipal buildings to be carbon-neutral by 2035 – have elevated the importance of sustainable architectural expertise.</w:t>
      </w:r>
    </w:p>
    <w:p>
      <w:pPr>
        <w:pStyle w:val="BodyText"/>
      </w:pPr>
      <w:r>
        <w:t xml:space="preserve">This regulatory environment directly impacts our</w:t>
      </w:r>
      <w:r>
        <w:t xml:space="preserve"> </w:t>
      </w:r>
      <w:r>
        <w:rPr>
          <w:bCs/>
          <w:b/>
        </w:rPr>
        <w:t xml:space="preserve">Sales Report</w:t>
      </w:r>
      <w:r>
        <w:t xml:space="preserve"> </w:t>
      </w:r>
      <w:r>
        <w:t xml:space="preserve">metrics. Projects incorporating LEED Gold or WELL certification standards now constitute 78% of all new design contracts secured in Chicago during the quarter, up from 52% in Q4 2022. As an architectural firm with five certified</w:t>
      </w:r>
      <w:r>
        <w:t xml:space="preserve"> </w:t>
      </w:r>
      <w:r>
        <w:rPr>
          <w:bCs/>
          <w:b/>
        </w:rPr>
        <w:t xml:space="preserve">Architect</w:t>
      </w:r>
      <w:r>
        <w:t xml:space="preserve">s specializing in sustainable urban design, we capitalized on this trend to secure contracts exceeding $1.9M for eco-conscious developments.</w:t>
      </w:r>
    </w:p>
    <w:bookmarkEnd w:id="21"/>
    <w:bookmarkStart w:id="22" w:name="Xffde2b79726dc71251ce74e1ef572672e0eba04"/>
    <w:p>
      <w:pPr>
        <w:pStyle w:val="Heading2"/>
      </w:pPr>
      <w:r>
        <w:t xml:space="preserve">Sales Performance Breakdown: Key Projects Driving Growth in United States Chicago</w:t>
      </w:r>
    </w:p>
    <w:p>
      <w:pPr>
        <w:pStyle w:val="FirstParagraph"/>
      </w:pPr>
      <w:r>
        <w:t xml:space="preserve">Project Type</w:t>
      </w:r>
    </w:p>
    <w:p>
      <w:pPr>
        <w:pStyle w:val="BodyText"/>
      </w:pPr>
      <w:r>
        <w:t xml:space="preserve">Client Name</w:t>
      </w:r>
    </w:p>
    <w:p>
      <w:pPr>
        <w:pStyle w:val="BodyText"/>
      </w:pPr>
      <w:r>
        <w:t xml:space="preserve">Contract Value ($)</w:t>
      </w:r>
    </w:p>
    <w:p>
      <w:pPr>
        <w:pStyle w:val="BodyText"/>
      </w:pPr>
      <w:r>
        <w:t xml:space="preserve">Sustainability Feature</w:t>
      </w:r>
    </w:p>
    <w:p>
      <w:pPr>
        <w:pStyle w:val="BodyText"/>
      </w:pPr>
      <w:r>
        <w:t xml:space="preserve">Milestones Achieved (Q4)</w:t>
      </w:r>
    </w:p>
    <w:p>
      <w:pPr>
        <w:pStyle w:val="BodyText"/>
      </w:pPr>
      <w:r>
        <w:t xml:space="preserve">Commercial Mixed-Use</w:t>
      </w:r>
    </w:p>
    <w:p>
      <w:pPr>
        <w:pStyle w:val="BodyText"/>
      </w:pPr>
      <w:r>
        <w:t xml:space="preserve">Millennium Development Group</w:t>
      </w:r>
    </w:p>
    <w:p>
      <w:pPr>
        <w:pStyle w:val="BodyText"/>
      </w:pPr>
      <w:r>
        <w:t xml:space="preserve">1,250,000</w:t>
      </w:r>
    </w:p>
    <w:p>
      <w:pPr>
        <w:pStyle w:val="BodyText"/>
      </w:pPr>
      <w:r>
        <w:t xml:space="preserve">Solar Canopy Integration (LEED Gold)</w:t>
      </w:r>
    </w:p>
    <w:p>
      <w:pPr>
        <w:pStyle w:val="BodyText"/>
      </w:pPr>
      <w:r>
        <w:t xml:space="preserve">Drafting Complete; Construction Start Q1 2024</w:t>
      </w:r>
    </w:p>
    <w:p>
      <w:pPr>
        <w:pStyle w:val="BodyText"/>
      </w:pPr>
      <w:r>
        <w:t xml:space="preserve">Residential Condominium</w:t>
      </w:r>
    </w:p>
    <w:p>
      <w:pPr>
        <w:pStyle w:val="BodyText"/>
      </w:pPr>
      <w:r>
        <w:t xml:space="preserve">River North Living Inc.</w:t>
      </w:r>
    </w:p>
    <w:p>
      <w:pPr>
        <w:pStyle w:val="BodyText"/>
      </w:pPr>
      <w:r>
        <w:t xml:space="preserve">950,000</w:t>
      </w:r>
    </w:p>
    <w:p>
      <w:pPr>
        <w:pStyle w:val="BodyText"/>
      </w:pPr>
      <w:r>
        <w:t xml:space="preserve">Passive House Certified (WELL Standard)</w:t>
      </w:r>
    </w:p>
    <w:p>
      <w:pPr>
        <w:pStyle w:val="BodyText"/>
      </w:pPr>
      <w:r>
        <w:t xml:space="preserve">Schematic Design Approved; Final Client Review Q1 2024</w:t>
      </w:r>
    </w:p>
    <w:p>
      <w:pPr>
        <w:pStyle w:val="BodyText"/>
      </w:pPr>
      <w:r>
        <w:t xml:space="preserve">Adaptive Reuse</w:t>
      </w:r>
    </w:p>
    <w:p>
      <w:pPr>
        <w:pStyle w:val="BodyText"/>
      </w:pPr>
      <w:r>
        <w:t xml:space="preserve">Chicago Cultural Trust</w:t>
      </w:r>
    </w:p>
    <w:p>
      <w:pPr>
        <w:pStyle w:val="BodyText"/>
      </w:pPr>
      <w:r>
        <w:t xml:space="preserve">850,000</w:t>
      </w:r>
    </w:p>
    <w:p>
      <w:pPr>
        <w:pStyle w:val="BodyText"/>
      </w:pPr>
      <w:r>
        <w:t xml:space="preserve">Preservation of Historic Facade with Modern Energy Systems</w:t>
      </w:r>
    </w:p>
    <w:p>
      <w:pPr>
        <w:pStyle w:val="BodyText"/>
      </w:pPr>
      <w:r>
        <w:t xml:space="preserve">Conceptual Design Finalized; Budget Approval Pending</w:t>
      </w:r>
    </w:p>
    <w:p>
      <w:pPr>
        <w:pStyle w:val="BodyText"/>
      </w:pPr>
      <w:r>
        <w:t xml:space="preserve">The above table illustrates our strategic positioning within the Chicago market. All three projects exemplify how our firm’s expertise as an</w:t>
      </w:r>
      <w:r>
        <w:t xml:space="preserve"> </w:t>
      </w:r>
      <w:r>
        <w:rPr>
          <w:bCs/>
          <w:b/>
        </w:rPr>
        <w:t xml:space="preserve">Architect</w:t>
      </w:r>
      <w:r>
        <w:t xml:space="preserve"> </w:t>
      </w:r>
      <w:r>
        <w:t xml:space="preserve">directly responds to</w:t>
      </w:r>
      <w:r>
        <w:t xml:space="preserve"> </w:t>
      </w:r>
      <w:r>
        <w:rPr>
          <w:bCs/>
          <w:b/>
        </w:rPr>
        <w:t xml:space="preserve">United States Chicago</w:t>
      </w:r>
      <w:r>
        <w:t xml:space="preserve">'s unique architectural needs – balancing historic preservation with contemporary sustainability demands. These contracts collectively represent 51% of total Q4 revenue and establish strong pipelines into 2024.</w:t>
      </w:r>
    </w:p>
    <w:bookmarkEnd w:id="22"/>
    <w:bookmarkStart w:id="23" w:name="Xc298699dad760fe88ce61d07f2fe3a23eccef0f"/>
    <w:p>
      <w:pPr>
        <w:pStyle w:val="Heading2"/>
      </w:pPr>
      <w:r>
        <w:t xml:space="preserve">Client Insights: Why Chicago-Based Organizations Choose Our Architectural Services</w:t>
      </w:r>
    </w:p>
    <w:p>
      <w:pPr>
        <w:pStyle w:val="FirstParagraph"/>
      </w:pPr>
      <w:r>
        <w:t xml:space="preserve">Our client acquisition strategy in</w:t>
      </w:r>
      <w:r>
        <w:t xml:space="preserve"> </w:t>
      </w:r>
      <w:r>
        <w:rPr>
          <w:bCs/>
          <w:b/>
        </w:rPr>
        <w:t xml:space="preserve">United States Chicago</w:t>
      </w:r>
      <w:r>
        <w:t xml:space="preserve"> </w:t>
      </w:r>
      <w:r>
        <w:t xml:space="preserve">has focused on building deep relationships within the city's development ecosystem. Through targeted participation in events like the Chicago Architecture Biennial and partnerships with firms such as Hines and JLL, we positioned ourselves as thought leaders. Key insights from our Q4 client surveys reveal that 89% of new clients selected our firm specifically for our</w:t>
      </w:r>
      <w:r>
        <w:t xml:space="preserve"> </w:t>
      </w:r>
      <w:r>
        <w:rPr>
          <w:bCs/>
          <w:b/>
        </w:rPr>
        <w:t xml:space="preserve">Architect</w:t>
      </w:r>
      <w:r>
        <w:t xml:space="preserve">'s understanding of local zoning codes, historic district regulations, and Chicago’s climate-specific building requirements – factors that significantly reduce project risk and timeline delays.</w:t>
      </w:r>
    </w:p>
    <w:p>
      <w:pPr>
        <w:pStyle w:val="BodyText"/>
      </w:pPr>
      <w:r>
        <w:t xml:space="preserve">"Their knowledge of Chicago’s specific regulatory landscape was invaluable," noted Sarah Chen, Director of Development at Millennium Development Group. "They navigated the complex permitting process for our River North project efficiently, saving us over six months in timeline and $350k in potential fees." Such testimonials directly support our</w:t>
      </w:r>
      <w:r>
        <w:t xml:space="preserve"> </w:t>
      </w:r>
      <w:r>
        <w:rPr>
          <w:bCs/>
          <w:b/>
        </w:rPr>
        <w:t xml:space="preserve">Sales Report</w:t>
      </w:r>
      <w:r>
        <w:t xml:space="preserve">'s emphasis on localized architectural expertise as a primary revenue driver.</w:t>
      </w:r>
    </w:p>
    <w:bookmarkEnd w:id="23"/>
    <w:bookmarkStart w:id="24" w:name="X7e4251fd419717a4cfbbf85139948e602ce2231"/>
    <w:p>
      <w:pPr>
        <w:pStyle w:val="Heading2"/>
      </w:pPr>
      <w:r>
        <w:t xml:space="preserve">Challenges and Strategic Responses in the Chicago Market</w:t>
      </w:r>
    </w:p>
    <w:p>
      <w:pPr>
        <w:pStyle w:val="FirstParagraph"/>
      </w:pPr>
      <w:r>
        <w:t xml:space="preserve">Despite strong performance, we encountered significant challenges unique to the</w:t>
      </w:r>
      <w:r>
        <w:t xml:space="preserve"> </w:t>
      </w:r>
      <w:r>
        <w:rPr>
          <w:bCs/>
          <w:b/>
        </w:rPr>
        <w:t xml:space="preserve">United States Chicago</w:t>
      </w:r>
      <w:r>
        <w:t xml:space="preserve"> </w:t>
      </w:r>
      <w:r>
        <w:t xml:space="preserve">architectural market. Rising material costs (up 14% year-over-year for structural steel) and skilled labor shortages impacted project profitability. Our response was multifaceted: we implemented a value engineering protocol that maintains design integrity while optimizing cost structures, developed long-term supplier partnerships to lock in favorable pricing, and expanded our in-house BIM capabilities to improve pre-construction efficiency.</w:t>
      </w:r>
    </w:p>
    <w:p>
      <w:pPr>
        <w:pStyle w:val="BodyText"/>
      </w:pPr>
      <w:r>
        <w:t xml:space="preserve">Additionally, increased competition from national firms entering the Chicago market prompted us to double down on our hyper-localized expertise. We launched the "Chicago Architectural Resilience Program" – a free educational initiative for developers on navigating city-specific sustainability requirements – which generated 27 qualified leads in Q4 alone.</w:t>
      </w:r>
    </w:p>
    <w:bookmarkEnd w:id="24"/>
    <w:bookmarkStart w:id="25" w:name="X280c99c430e2d1c32e7f8ac60b9f064eecd719e"/>
    <w:p>
      <w:pPr>
        <w:pStyle w:val="Heading2"/>
      </w:pPr>
      <w:r>
        <w:t xml:space="preserve">Future Outlook: Positioning as the Preferred Architect for United States Chicago Development</w:t>
      </w:r>
    </w:p>
    <w:p>
      <w:pPr>
        <w:pStyle w:val="FirstParagraph"/>
      </w:pPr>
      <w:r>
        <w:t xml:space="preserve">Looking ahead to Q1 2024, we project continued growth driven by Chicago’s $5.8B in planned construction starts across commercial and residential sectors (CBRE, December 2023). Our pipeline already includes seven projects valued at $3.4M with signing expected within the first quarter – all centered on sustainability and community integration, core principles of our</w:t>
      </w:r>
      <w:r>
        <w:t xml:space="preserve"> </w:t>
      </w:r>
      <w:r>
        <w:rPr>
          <w:bCs/>
          <w:b/>
        </w:rPr>
        <w:t xml:space="preserve">Architect</w:t>
      </w:r>
      <w:r>
        <w:t xml:space="preserve"> </w:t>
      </w:r>
      <w:r>
        <w:t xml:space="preserve">practice.</w:t>
      </w:r>
    </w:p>
    <w:p>
      <w:pPr>
        <w:pStyle w:val="BodyText"/>
      </w:pPr>
      <w:r>
        <w:t xml:space="preserve">To maintain leadership in the</w:t>
      </w:r>
      <w:r>
        <w:t xml:space="preserve"> </w:t>
      </w:r>
      <w:r>
        <w:rPr>
          <w:bCs/>
          <w:b/>
        </w:rPr>
        <w:t xml:space="preserve">United States Chicago</w:t>
      </w:r>
      <w:r>
        <w:t xml:space="preserve"> </w:t>
      </w:r>
      <w:r>
        <w:t xml:space="preserve">architectural market, we will deepen our partnerships with neighborhood associations to better understand community-driven design needs and expand our team of locally certified</w:t>
      </w:r>
      <w:r>
        <w:t xml:space="preserve"> </w:t>
      </w:r>
      <w:r>
        <w:rPr>
          <w:bCs/>
          <w:b/>
        </w:rPr>
        <w:t xml:space="preserve">Architect</w:t>
      </w:r>
      <w:r>
        <w:t xml:space="preserve">s specializing in Chicago’s diverse building typologies. This strategic focus ensures that every project we deliver not only meets technical excellence but also actively contributes to the city’s evolving architectural identity – a critical differentiator in a competitive market where clients increasingly value purpose-driven design.</w:t>
      </w:r>
    </w:p>
    <w:p>
      <w:pPr>
        <w:pStyle w:val="BodyText"/>
      </w:pPr>
      <w:r>
        <w:rPr>
          <w:bCs/>
          <w:b/>
        </w:rPr>
        <w:t xml:space="preserve">Conclusion:</w:t>
      </w:r>
      <w:r>
        <w:t xml:space="preserve"> </w:t>
      </w:r>
      <w:r>
        <w:t xml:space="preserve">The Q4 2023</w:t>
      </w:r>
      <w:r>
        <w:t xml:space="preserve"> </w:t>
      </w:r>
      <w:r>
        <w:rPr>
          <w:bCs/>
          <w:b/>
        </w:rPr>
        <w:t xml:space="preserve">Sales Report</w:t>
      </w:r>
      <w:r>
        <w:t xml:space="preserve"> </w:t>
      </w:r>
      <w:r>
        <w:t xml:space="preserve">confirms that our specialized architectural approach is perfectly aligned with the needs of the Chicago market. By combining deep local knowledge, sustainability expertise, and client-centric delivery as a trusted</w:t>
      </w:r>
      <w:r>
        <w:t xml:space="preserve"> </w:t>
      </w:r>
      <w:r>
        <w:rPr>
          <w:bCs/>
          <w:b/>
        </w:rPr>
        <w:t xml:space="preserve">Architect</w:t>
      </w:r>
      <w:r>
        <w:t xml:space="preserve">, we have established a sustainable growth trajectory in one of America’s most demanding urban environments. As we enter 2024, our focus remains on leveraging this momentum to become Chicago’s premier architectural partner for transformative design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Architectural Services in United States Chicago Market</dc:title>
  <dc:creator/>
  <dc:language>en</dc:language>
  <cp:keywords/>
  <dcterms:created xsi:type="dcterms:W3CDTF">2026-07-21T03:24:34Z</dcterms:created>
  <dcterms:modified xsi:type="dcterms:W3CDTF">2026-07-21T03:24:34Z</dcterms:modified>
</cp:coreProperties>
</file>

<file path=docProps/custom.xml><?xml version="1.0" encoding="utf-8"?>
<Properties xmlns="http://schemas.openxmlformats.org/officeDocument/2006/custom-properties" xmlns:vt="http://schemas.openxmlformats.org/officeDocument/2006/docPropsVTypes"/>
</file>