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Houston</w:t>
      </w:r>
      <w:r>
        <w:t xml:space="preserve"> </w:t>
      </w:r>
      <w:r>
        <w:t xml:space="preserve">Architectural</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Market</w:t>
      </w:r>
      <w:r>
        <w:t xml:space="preserve"> </w:t>
      </w:r>
      <w:r>
        <w:t xml:space="preserve">Analysis</w:t>
      </w:r>
    </w:p>
    <w:bookmarkStart w:id="26" w:name="X3d22e0dd27817d2a906b07a0818a05619100e4b"/>
    <w:p>
      <w:pPr>
        <w:pStyle w:val="Heading1"/>
      </w:pPr>
      <w:r>
        <w:t xml:space="preserve">Q3 2024 Sales Performance Report for Architectural Services in United States Houston</w:t>
      </w:r>
    </w:p>
    <w:p>
      <w:pPr>
        <w:pStyle w:val="FirstParagraph"/>
      </w:pPr>
      <w:r>
        <w:t xml:space="preserve">This official Sales Report details the performance of architectural services within the United States Houston market for Q3 2024. It provides a comprehensive analysis of sales trends, client acquisition, project pipelines, and strategic initiatives specifically tailored to the dynamic needs of our Architect team serving Houston's construction industry.</w:t>
      </w:r>
    </w:p>
    <w:bookmarkStart w:id="20" w:name="X72c255ec5988973b284e5f53c8f1c7846e3b75e"/>
    <w:p>
      <w:pPr>
        <w:pStyle w:val="Heading2"/>
      </w:pPr>
      <w:r>
        <w:t xml:space="preserve">Executive Summary: Architectural Sales Momentum in Houston</w:t>
      </w:r>
    </w:p>
    <w:p>
      <w:pPr>
        <w:pStyle w:val="FirstParagraph"/>
      </w:pPr>
      <w:r>
        <w:t xml:space="preserve">The Q3 2024 period marked a significant milestone for our firm's architectural sales within the United States Houston market. We achieved a 18% year-over-year increase in signed project contracts, securing $14.7 million in new architectural service commitments compared to $12.5 million in Q3 2023. This growth directly reflects the sustained demand for high-caliber Architect expertise across Houston's rapidly expanding commercial, healthcare, and mixed-use development sectors. Our success is deeply rooted in understanding the unique challenges and opportunities presented by building in United States Houston – from hurricane-resistant design standards to navigating the city's complex permitting landscape for large-scale projects.</w:t>
      </w:r>
    </w:p>
    <w:bookmarkEnd w:id="20"/>
    <w:bookmarkStart w:id="21" w:name="X83bfb9d97f457cef5b1eb2cdd958e28d81fc45f"/>
    <w:p>
      <w:pPr>
        <w:pStyle w:val="Heading2"/>
      </w:pPr>
      <w:r>
        <w:t xml:space="preserve">United States Houston Market Analysis: Driving Architect Sales</w:t>
      </w:r>
    </w:p>
    <w:p>
      <w:pPr>
        <w:pStyle w:val="FirstParagraph"/>
      </w:pPr>
      <w:r>
        <w:t xml:space="preserve">Understanding the local market is paramount for any successful Architect sales strategy in United States Houston. Key drivers fueling our sales performance include:</w:t>
      </w:r>
    </w:p>
    <w:p>
      <w:pPr>
        <w:numPr>
          <w:ilvl w:val="0"/>
          <w:numId w:val="1001"/>
        </w:numPr>
        <w:pStyle w:val="Compact"/>
      </w:pPr>
      <w:r>
        <w:t xml:space="preserve">Commercial Boom:</w:t>
      </w:r>
      <w:r>
        <w:t xml:space="preserve"> </w:t>
      </w:r>
      <w:r>
        <w:t xml:space="preserve">Continued investment in downtown and Uptown Houston office spaces, with over 12 million sq ft of new commercial permits issued in H-GAC (Houston-Galveston Area Council) region during Q3 alone. Our Architect team successfully secured contracts for three major Class A office developments.</w:t>
      </w:r>
    </w:p>
    <w:p>
      <w:pPr>
        <w:numPr>
          <w:ilvl w:val="0"/>
          <w:numId w:val="1001"/>
        </w:numPr>
        <w:pStyle w:val="Compact"/>
      </w:pPr>
      <w:r>
        <w:t xml:space="preserve">Healthcare Expansion:</w:t>
      </w:r>
      <w:r>
        <w:t xml:space="preserve"> </w:t>
      </w:r>
      <w:r>
        <w:t xml:space="preserve">The Texas Medical Center's multi-billion dollar expansion plan remains a primary sales engine. We captured 2 of the 5 new design commissions for critical healthcare facilities, leveraging our specialized Architect experience in high-precision medical environments.</w:t>
      </w:r>
    </w:p>
    <w:p>
      <w:pPr>
        <w:numPr>
          <w:ilvl w:val="0"/>
          <w:numId w:val="1001"/>
        </w:numPr>
        <w:pStyle w:val="Compact"/>
      </w:pPr>
      <w:r>
        <w:t xml:space="preserve">Resilience &amp; Sustainability Mandates:</w:t>
      </w:r>
      <w:r>
        <w:t xml:space="preserve"> </w:t>
      </w:r>
      <w:r>
        <w:t xml:space="preserve">Houston's push for climate-resilient construction (post-Hurricane Beryl) and stringent energy codes has made our sustainable design expertise a key differentiator. 65% of new architectural contracts in Q3 explicitly included LEED Platinum or WELL Building Standard goals.</w:t>
      </w:r>
    </w:p>
    <w:p>
      <w:pPr>
        <w:numPr>
          <w:ilvl w:val="0"/>
          <w:numId w:val="1001"/>
        </w:numPr>
        <w:pStyle w:val="Compact"/>
      </w:pPr>
      <w:r>
        <w:t xml:space="preserve">Local Partnerships:</w:t>
      </w:r>
      <w:r>
        <w:t xml:space="preserve"> </w:t>
      </w:r>
      <w:r>
        <w:t xml:space="preserve">Strategic alliances with established Houston-based developers (e.g., Hines, JLL, and local firms like Luminar) have been instrumental in accessing high-value projects. This localized partnership model is central to our United States Houston market penetration strategy.</w:t>
      </w:r>
    </w:p>
    <w:bookmarkEnd w:id="21"/>
    <w:bookmarkStart w:id="22" w:name="X7c7c52c0625d0f4ea23554dc8949ef9517f3b0a"/>
    <w:p>
      <w:pPr>
        <w:pStyle w:val="Heading2"/>
      </w:pPr>
      <w:r>
        <w:t xml:space="preserve">Sales Performance Breakdown: Architect-Driven Revenue Streams</w:t>
      </w:r>
    </w:p>
    <w:p>
      <w:pPr>
        <w:pStyle w:val="FirstParagraph"/>
      </w:pPr>
      <w:r>
        <w:t xml:space="preserve">Our architectural services revenue in Q3 2024 was distributed across three primary segments, demonstrating the diverse demand for our Architect capabilities:</w:t>
      </w:r>
    </w:p>
    <w:p>
      <w:pPr>
        <w:pStyle w:val="BodyText"/>
      </w:pPr>
      <w:r>
        <w:t xml:space="preserve">Project Type</w:t>
      </w:r>
    </w:p>
    <w:p>
      <w:pPr>
        <w:pStyle w:val="BodyText"/>
      </w:pPr>
      <w:r>
        <w:t xml:space="preserve">Number of Contracts (Q3)</w:t>
      </w:r>
    </w:p>
    <w:p>
      <w:pPr>
        <w:pStyle w:val="BodyText"/>
      </w:pPr>
      <w:r>
        <w:t xml:space="preserve">Total Value ($M)</w:t>
      </w:r>
    </w:p>
    <w:p>
      <w:pPr>
        <w:pStyle w:val="BodyText"/>
      </w:pPr>
      <w:r>
        <w:t xml:space="preserve">% of Total Q3 Revenue</w:t>
      </w:r>
    </w:p>
    <w:p>
      <w:pPr>
        <w:pStyle w:val="BodyText"/>
      </w:pPr>
      <w:r>
        <w:t xml:space="preserve">High-End Commercial (Office, Retail)</w:t>
      </w:r>
    </w:p>
    <w:p>
      <w:pPr>
        <w:pStyle w:val="BodyText"/>
      </w:pPr>
      <w:r>
        <w:t xml:space="preserve">7</w:t>
      </w:r>
    </w:p>
    <w:p>
      <w:pPr>
        <w:pStyle w:val="BodyText"/>
      </w:pPr>
      <w:r>
        <w:t xml:space="preserve">$6.2</w:t>
      </w:r>
    </w:p>
    <w:p>
      <w:pPr>
        <w:pStyle w:val="BodyText"/>
      </w:pPr>
      <w:r>
        <w:t xml:space="preserve">42%</w:t>
      </w:r>
    </w:p>
    <w:p>
      <w:pPr>
        <w:pStyle w:val="BodyText"/>
      </w:pPr>
      <w:r>
        <w:t xml:space="preserve">Healthcare &amp; Institutional</w:t>
      </w:r>
    </w:p>
    <w:p>
      <w:pPr>
        <w:pStyle w:val="BodyText"/>
      </w:pPr>
      <w:r>
        <w:t xml:space="preserve">3</w:t>
      </w:r>
    </w:p>
    <w:p>
      <w:pPr>
        <w:pStyle w:val="BodyText"/>
      </w:pPr>
      <w:r>
        <w:rPr>
          <w:bCs/>
          <w:b/>
        </w:rPr>
        <w:t xml:space="preserve">$4.1</w:t>
      </w:r>
    </w:p>
    <w:p>
      <w:pPr>
        <w:pStyle w:val="BodyText"/>
      </w:pPr>
      <w:r>
        <w:t xml:space="preserve">28%</w:t>
      </w:r>
    </w:p>
    <w:p>
      <w:pPr>
        <w:pStyle w:val="BodyText"/>
      </w:pPr>
      <w:r>
        <w:t xml:space="preserve">Mixed-Use &amp; Luxury Residential</w:t>
      </w:r>
    </w:p>
    <w:p>
      <w:pPr>
        <w:pStyle w:val="BodyText"/>
      </w:pPr>
      <w:r>
        <w:t xml:space="preserve">5</w:t>
      </w:r>
    </w:p>
    <w:p>
      <w:pPr>
        <w:pStyle w:val="BodyText"/>
      </w:pPr>
      <w:r>
        <w:t xml:space="preserve">$3.8</w:t>
      </w:r>
    </w:p>
    <w:p>
      <w:pPr>
        <w:pStyle w:val="BodyText"/>
      </w:pPr>
      <w:r>
        <w:t xml:space="preserve">26%</w:t>
      </w:r>
    </w:p>
    <w:p>
      <w:pPr>
        <w:pStyle w:val="BodyText"/>
      </w:pPr>
      <w:r>
        <w:t xml:space="preserve">Total</w:t>
      </w:r>
    </w:p>
    <w:p>
      <w:pPr>
        <w:pStyle w:val="BodyText"/>
      </w:pPr>
      <w:r>
        <w:t xml:space="preserve">15 Contracts</w:t>
      </w:r>
    </w:p>
    <w:p>
      <w:pPr>
        <w:pStyle w:val="BodyText"/>
      </w:pPr>
      <w:r>
        <w:t xml:space="preserve">$14.1M</w:t>
      </w:r>
    </w:p>
    <w:p>
      <w:pPr>
        <w:pStyle w:val="BodyText"/>
      </w:pPr>
      <w:r>
        <w:t xml:space="preserve">100%</w:t>
      </w:r>
    </w:p>
    <w:p>
      <w:pPr>
        <w:pStyle w:val="BodyText"/>
      </w:pPr>
      <w:r>
        <w:t xml:space="preserve">Crucially, 92% of these projects originated from referrals within the Houston architectural and development community,</w:t>
      </w:r>
      <w:r>
        <w:t xml:space="preserve"> </w:t>
      </w:r>
      <w:r>
        <w:t xml:space="preserve">underscoring the value our Architect team delivers in building trust and long-term client relationships. The average contract size for new Houston projects rose to $940,000 (up from $825,000 YoY), reflecting increased project scale and complexity.</w:t>
      </w:r>
    </w:p>
    <w:bookmarkEnd w:id="22"/>
    <w:bookmarkStart w:id="23" w:name="X50eb222084cf37f8b8d09b959b7cf5c1b9c8cbc"/>
    <w:p>
      <w:pPr>
        <w:pStyle w:val="Heading2"/>
      </w:pPr>
      <w:r>
        <w:t xml:space="preserve">Strategic Initiatives Fueling Architect Sales Success</w:t>
      </w:r>
    </w:p>
    <w:p>
      <w:pPr>
        <w:pStyle w:val="FirstParagraph"/>
      </w:pPr>
      <w:r>
        <w:t xml:space="preserve">To maintain momentum in the competitive United States Houston market, our Architect sales team implemented key initiatives this quarter:</w:t>
      </w:r>
    </w:p>
    <w:p>
      <w:pPr>
        <w:numPr>
          <w:ilvl w:val="0"/>
          <w:numId w:val="1002"/>
        </w:numPr>
        <w:pStyle w:val="Compact"/>
      </w:pPr>
      <w:r>
        <w:rPr>
          <w:bCs/>
          <w:b/>
        </w:rPr>
        <w:t xml:space="preserve">Hyper-Local Market Intelligence Unit:</w:t>
      </w:r>
      <w:r>
        <w:t xml:space="preserve"> </w:t>
      </w:r>
      <w:r>
        <w:t xml:space="preserve">Created a dedicated Houston focus group within our sales division, providing real-time insights on zoning changes, developer pipelines (e.g., the upcoming "Discovery Green Phase II" expansion), and competitor activity specifically for the United States Houston market.</w:t>
      </w:r>
    </w:p>
    <w:p>
      <w:pPr>
        <w:numPr>
          <w:ilvl w:val="0"/>
          <w:numId w:val="1002"/>
        </w:numPr>
        <w:pStyle w:val="Compact"/>
      </w:pPr>
      <w:r>
        <w:rPr>
          <w:bCs/>
          <w:b/>
        </w:rPr>
        <w:t xml:space="preserve">Certified Houston Resilience Specialist Program:</w:t>
      </w:r>
      <w:r>
        <w:t xml:space="preserve"> </w:t>
      </w:r>
      <w:r>
        <w:t xml:space="preserve">Trained 8 senior Architects in FEMA-compliant design and floodplain management, directly addressing a critical pain point for Houston developers. This certification became a key differentiator in 12 of our Q3 proposals.</w:t>
      </w:r>
    </w:p>
    <w:p>
      <w:pPr>
        <w:numPr>
          <w:ilvl w:val="0"/>
          <w:numId w:val="1002"/>
        </w:numPr>
        <w:pStyle w:val="Compact"/>
      </w:pPr>
      <w:r>
        <w:rPr>
          <w:bCs/>
          <w:b/>
        </w:rPr>
        <w:t xml:space="preserve">Technology-Driven Client Presentations:</w:t>
      </w:r>
      <w:r>
        <w:t xml:space="preserve"> </w:t>
      </w:r>
      <w:r>
        <w:t xml:space="preserve">Implemented immersive VR walkthroughs for proposed Houston projects, allowing clients to "experience" the design within the context of their specific site and Houston urban landscape. This led to a 35% faster proposal acceptance rate.</w:t>
      </w:r>
    </w:p>
    <w:bookmarkEnd w:id="23"/>
    <w:bookmarkStart w:id="24" w:name="Xeb5a7e29f865a2db3e155a066e363dfaf9c24b1"/>
    <w:p>
      <w:pPr>
        <w:pStyle w:val="Heading2"/>
      </w:pPr>
      <w:r>
        <w:t xml:space="preserve">Forward-Looking Outlook: Architect Opportunities in United States Houston</w:t>
      </w:r>
    </w:p>
    <w:p>
      <w:pPr>
        <w:pStyle w:val="FirstParagraph"/>
      </w:pPr>
      <w:r>
        <w:t xml:space="preserve">Based on current project pipelines and market indicators, we project continued strong sales growth for our Architect team through Q4 2024 and into 2025. Key opportunities include:</w:t>
      </w:r>
    </w:p>
    <w:p>
      <w:pPr>
        <w:numPr>
          <w:ilvl w:val="0"/>
          <w:numId w:val="1003"/>
        </w:numPr>
        <w:pStyle w:val="Compact"/>
      </w:pPr>
      <w:r>
        <w:t xml:space="preserve">The impending $3.1 billion "Houston Innovation District" development, requiring master planning and architectural services for multiple phases.</w:t>
      </w:r>
    </w:p>
    <w:p>
      <w:pPr>
        <w:numPr>
          <w:ilvl w:val="0"/>
          <w:numId w:val="1003"/>
        </w:numPr>
        <w:pStyle w:val="Compact"/>
      </w:pPr>
      <w:r>
        <w:t xml:space="preserve">Significant infrastructure investment in the Houston Ship Channel area, creating demand for sustainable industrial architectural solutions.</w:t>
      </w:r>
    </w:p>
    <w:p>
      <w:pPr>
        <w:numPr>
          <w:ilvl w:val="0"/>
          <w:numId w:val="1003"/>
        </w:numPr>
        <w:pStyle w:val="Compact"/>
      </w:pPr>
      <w:r>
        <w:t xml:space="preserve">Increasing focus on adaptive reuse of historic downtown structures (e.g., the former 24-story Chase Building), where our Architect team's heritage design expertise is highly valued.</w:t>
      </w:r>
    </w:p>
    <w:p>
      <w:pPr>
        <w:pStyle w:val="FirstParagraph"/>
      </w:pPr>
      <w:r>
        <w:t xml:space="preserve">The United States Houston market remains a cornerstone of our national growth strategy. Our commitment to delivering exceptional Architect services that solve Houston-specific challenges – from seismic resilience to cultural context integration – has solidified our position as a preferred architectural partner for the city's most ambitious projects. The Q3 results demonstrate that understanding the unique fabric of United States Houston is not just advantageous; it is the fundamental driver of successful Architect sales performance.</w:t>
      </w:r>
    </w:p>
    <w:bookmarkEnd w:id="24"/>
    <w:bookmarkStart w:id="25" w:name="X0249aa2ae7cbbf1033415d5def366c9f6006e0e"/>
    <w:p>
      <w:pPr>
        <w:pStyle w:val="Heading2"/>
      </w:pPr>
      <w:r>
        <w:t xml:space="preserve">Conclusion: The Houston Architect Advantage</w:t>
      </w:r>
    </w:p>
    <w:p>
      <w:pPr>
        <w:pStyle w:val="FirstParagraph"/>
      </w:pPr>
      <w:r>
        <w:t xml:space="preserve">The Q3 2024 Sales Report underscores a clear trajectory: demand for sophisticated, locally attuned Architect services in United States Houston is robust and growing. By embedding deep market knowledge into our sales approach, investing in regionally relevant technical expertise (resilience, sustainability), and fostering genuine local partnerships, we have not only met but exceeded our sales targets. Our Architect team's ability to translate Houston's unique urban challenges into compelling design solutions is the core asset generating revenue and client loyalty in this vital market. The future for Architect-driven sales in Houston is exceptionally bright, and our strategic focus on serving the United States Houston community positions us perfectly to capitalize on the city's continued growth and transformation.</w:t>
      </w:r>
    </w:p>
    <w:p>
      <w:pPr>
        <w:pStyle w:val="BodyText"/>
      </w:pPr>
      <w:r>
        <w:rPr>
          <w:iCs/>
          <w:i/>
        </w:rPr>
        <w:t xml:space="preserve">Prepared by: Sales &amp; Business Development Team | Architectural Services Division</w:t>
      </w:r>
      <w:r>
        <w:br/>
      </w:r>
      <w:r>
        <w:rPr>
          <w:iCs/>
          <w:i/>
        </w:rPr>
        <w:t xml:space="preserve">For Distribution: Executive Leadership, Client Partnerships, Houston Office Management</w:t>
      </w:r>
      <w:r>
        <w:br/>
      </w:r>
      <w:r>
        <w:rPr>
          <w:iCs/>
          <w:i/>
        </w:rPr>
        <w:t xml:space="preserve">Date: 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Houston Architectural Sales Report - United States Market Analysis</dc:title>
  <dc:creator/>
  <dc:language>en</dc:language>
  <cp:keywords/>
  <dcterms:created xsi:type="dcterms:W3CDTF">2026-07-23T19:14:34Z</dcterms:created>
  <dcterms:modified xsi:type="dcterms:W3CDTF">2026-07-23T19:14:34Z</dcterms:modified>
</cp:coreProperties>
</file>

<file path=docProps/custom.xml><?xml version="1.0" encoding="utf-8"?>
<Properties xmlns="http://schemas.openxmlformats.org/officeDocument/2006/custom-properties" xmlns:vt="http://schemas.openxmlformats.org/officeDocument/2006/docPropsVTypes"/>
</file>