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Architect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p>
    <w:bookmarkStart w:id="27" w:name="X83471fea02449bc191c618c11d1d35015aad023"/>
    <w:p>
      <w:pPr>
        <w:pStyle w:val="Heading1"/>
      </w:pPr>
      <w:r>
        <w:t xml:space="preserve">Los Angeles Architect Sales Performance Report: Driving Growth in the United States Market</w:t>
      </w:r>
    </w:p>
    <w:bookmarkStart w:id="20" w:name="executive-summary"/>
    <w:p>
      <w:pPr>
        <w:pStyle w:val="Heading2"/>
      </w:pPr>
      <w:r>
        <w:t xml:space="preserve">Executive Summary</w:t>
      </w:r>
    </w:p>
    <w:p>
      <w:pPr>
        <w:pStyle w:val="FirstParagraph"/>
      </w:pPr>
      <w:r>
        <w:t xml:space="preserve">This comprehensive Sales Report details the performance of our premier architectural firm operating within the dynamic landscape of United States Los Angeles. Serving as a pivotal player in Southern California's built environment, our Architect team has navigated evolving market demands with strategic precision, delivering exceptional value to clients across commercial, residential, and civic sectors. This report outlines key sales achievements for Q1-Q3 2024, analyzes competitive positioning within the United States Los Angeles market, and outlines forward-looking strategies to sustain growth amidst urban expansion and sustainability mandates.</w:t>
      </w:r>
    </w:p>
    <w:bookmarkEnd w:id="20"/>
    <w:bookmarkStart w:id="21" w:name="Xf145de18544162e5b54f1afb200ca520b766dc2"/>
    <w:p>
      <w:pPr>
        <w:pStyle w:val="Heading2"/>
      </w:pPr>
      <w:r>
        <w:t xml:space="preserve">Market Context: The United States Los Angeles Architect Landscape</w:t>
      </w:r>
    </w:p>
    <w:p>
      <w:pPr>
        <w:pStyle w:val="FirstParagraph"/>
      </w:pPr>
      <w:r>
        <w:t xml:space="preserve">United States Los Angeles stands as a global epicenter for architectural innovation, characterized by its unique blend of cultural diversity, economic vitality, and stringent environmental regulations. The city’s ongoing transformation—including the Downtown LA renaissance, the LAX Master Plan expansion, and sustainable housing initiatives—creates unparalleled demand for forward-thinking Architect services. With over 500 active architectural firms vying for projects in Los Angeles alone (as per AIA Southern California), differentiation through expertise, responsiveness, and local market intelligence is non-negotiable. Our firm’s deep roots in United States Los Angeles—from Koreatown to the San Fernando Valley—position us uniquely to understand neighborhood-specific zoning laws, community engagement needs, and material sourcing challenges critical to project success.</w:t>
      </w:r>
    </w:p>
    <w:bookmarkEnd w:id="21"/>
    <w:bookmarkStart w:id="22" w:name="q1-q3-2024-sales-performance-highlights"/>
    <w:p>
      <w:pPr>
        <w:pStyle w:val="Heading2"/>
      </w:pPr>
      <w:r>
        <w:t xml:space="preserve">Q1-Q3 2024 Sales Performance Highlights</w:t>
      </w:r>
    </w:p>
    <w:p>
      <w:pPr>
        <w:pStyle w:val="FirstParagraph"/>
      </w:pPr>
      <w:r>
        <w:t xml:space="preserve">Our Architect team achieved robust sales growth in the United States Los Angeles market, exceeding annual targets by 18.5%. Key milestones include:</w:t>
      </w:r>
    </w:p>
    <w:p>
      <w:pPr>
        <w:numPr>
          <w:ilvl w:val="0"/>
          <w:numId w:val="1001"/>
        </w:numPr>
        <w:pStyle w:val="Compact"/>
      </w:pPr>
      <w:r>
        <w:rPr>
          <w:bCs/>
          <w:b/>
        </w:rPr>
        <w:t xml:space="preserve">Revenue Growth:</w:t>
      </w:r>
      <w:r>
        <w:t xml:space="preserve"> </w:t>
      </w:r>
      <w:r>
        <w:t xml:space="preserve">$14.2M in architectural services revenue (a 22% increase YoY), driven by a 35% rise in high-value commercial project acquisitions.</w:t>
      </w:r>
    </w:p>
    <w:p>
      <w:pPr>
        <w:numPr>
          <w:ilvl w:val="0"/>
          <w:numId w:val="1001"/>
        </w:numPr>
        <w:pStyle w:val="Compact"/>
      </w:pPr>
      <w:r>
        <w:rPr>
          <w:bCs/>
          <w:b/>
        </w:rPr>
        <w:t xml:space="preserve">New Client Acquisition:</w:t>
      </w:r>
      <w:r>
        <w:t xml:space="preserve"> </w:t>
      </w:r>
      <w:r>
        <w:t xml:space="preserve">Secured 14 new clients, including three major healthcare developers and two prominent tech campus planners—marking a 40% increase in Fortune 500 engagements within Los Angeles.</w:t>
      </w:r>
    </w:p>
    <w:p>
      <w:pPr>
        <w:numPr>
          <w:ilvl w:val="0"/>
          <w:numId w:val="1001"/>
        </w:numPr>
        <w:pStyle w:val="Compact"/>
      </w:pPr>
      <w:r>
        <w:t xml:space="preserve">Current active project portfolio totals 27 projects (up from 19 at end of Q3 2023), with an average value of $650K per project. Notable projects include the sustainable mixed-use development at Boyle Heights and the adaptive reuse of historic warehouses in Downtown LA.</w:t>
      </w:r>
    </w:p>
    <w:p>
      <w:pPr>
        <w:numPr>
          <w:ilvl w:val="0"/>
          <w:numId w:val="1001"/>
        </w:numPr>
        <w:pStyle w:val="Compact"/>
      </w:pPr>
      <w:r>
        <w:rPr>
          <w:bCs/>
          <w:b/>
        </w:rPr>
        <w:t xml:space="preserve">Client Retention Rate:</w:t>
      </w:r>
      <w:r>
        <w:t xml:space="preserve"> </w:t>
      </w:r>
      <w:r>
        <w:t xml:space="preserve">89%—exceeding industry benchmark (72%)—demonstrating exceptional trust in our Architect expertise among repeat clients like The Related Companies and Hines.</w:t>
      </w:r>
    </w:p>
    <w:bookmarkEnd w:id="22"/>
    <w:bookmarkStart w:id="23" w:name="X67a7bd43ba5667a140d09cc3be3de5a17f736d6"/>
    <w:p>
      <w:pPr>
        <w:pStyle w:val="Heading2"/>
      </w:pPr>
      <w:r>
        <w:t xml:space="preserve">Strategic Sales Initiatives Driving Success</w:t>
      </w:r>
    </w:p>
    <w:p>
      <w:pPr>
        <w:pStyle w:val="FirstParagraph"/>
      </w:pPr>
      <w:r>
        <w:t xml:space="preserve">The United States Los Angeles Architect team’s success stems from targeted sales strategies tailored to local market dynamics:</w:t>
      </w:r>
    </w:p>
    <w:p>
      <w:pPr>
        <w:numPr>
          <w:ilvl w:val="0"/>
          <w:numId w:val="1002"/>
        </w:numPr>
        <w:pStyle w:val="Compact"/>
      </w:pPr>
      <w:r>
        <w:rPr>
          <w:bCs/>
          <w:b/>
        </w:rPr>
        <w:t xml:space="preserve">Sustainability as a Core Sales Driver:</w:t>
      </w:r>
      <w:r>
        <w:t xml:space="preserve"> </w:t>
      </w:r>
      <w:r>
        <w:t xml:space="preserve">LA’s mandate for 100% carbon-neutral buildings by 2035 has positioned our LEED Platinum-certified Architect team as the go-to partner. Our "Green Design Accelerator" package—offering streamlined compliance with CALGreen Standards—generated $3.8M in new sales this year.</w:t>
      </w:r>
    </w:p>
    <w:p>
      <w:pPr>
        <w:numPr>
          <w:ilvl w:val="0"/>
          <w:numId w:val="1002"/>
        </w:numPr>
        <w:pStyle w:val="Compact"/>
      </w:pPr>
      <w:r>
        <w:rPr>
          <w:bCs/>
          <w:b/>
        </w:rPr>
        <w:t xml:space="preserve">Hyper-Local Market Intelligence:</w:t>
      </w:r>
      <w:r>
        <w:t xml:space="preserve"> </w:t>
      </w:r>
      <w:r>
        <w:t xml:space="preserve">Sales reps embedded in key LA neighborhoods (e.g., Silver Lake for residential, Silicon Beach for tech) deliver data-driven proposals addressing specific community needs, such as flood-resilient designs for coastal zones.</w:t>
      </w:r>
    </w:p>
    <w:p>
      <w:pPr>
        <w:numPr>
          <w:ilvl w:val="0"/>
          <w:numId w:val="1002"/>
        </w:numPr>
        <w:pStyle w:val="Compact"/>
      </w:pPr>
      <w:r>
        <w:rPr>
          <w:bCs/>
          <w:b/>
        </w:rPr>
        <w:t xml:space="preserve">Technology Integration:</w:t>
      </w:r>
      <w:r>
        <w:t xml:space="preserve"> </w:t>
      </w:r>
      <w:r>
        <w:t xml:space="preserve">Our VR-based design visualization platform—customized for Los Angeles zoning scenarios—reduced client decision timelines by 30%, directly converting 28% of demo sessions into signed contracts.</w:t>
      </w:r>
    </w:p>
    <w:p>
      <w:pPr>
        <w:numPr>
          <w:ilvl w:val="0"/>
          <w:numId w:val="1002"/>
        </w:numPr>
        <w:pStyle w:val="Compact"/>
      </w:pPr>
      <w:r>
        <w:rPr>
          <w:bCs/>
          <w:b/>
        </w:rPr>
        <w:t xml:space="preserve">Strategic Partnerships:</w:t>
      </w:r>
      <w:r>
        <w:t xml:space="preserve"> </w:t>
      </w:r>
      <w:r>
        <w:t xml:space="preserve">Collaborations with LA Metro and the City’s Office of Sustainability unlocked municipal project opportunities, including the $4.2M design for the new community transit hub in South Central LA.</w:t>
      </w:r>
    </w:p>
    <w:bookmarkEnd w:id="23"/>
    <w:bookmarkStart w:id="24" w:name="competitive-positioning-challenges"/>
    <w:p>
      <w:pPr>
        <w:pStyle w:val="Heading2"/>
      </w:pPr>
      <w:r>
        <w:t xml:space="preserve">Competitive Positioning &amp; Challenges</w:t>
      </w:r>
    </w:p>
    <w:p>
      <w:pPr>
        <w:pStyle w:val="FirstParagraph"/>
      </w:pPr>
      <w:r>
        <w:t xml:space="preserve">The United States Los Angeles market remains fiercely competitive. Key challenges include rising construction costs (up 15% YoY) and talent shortages, with 68% of local firms reporting difficulty retaining senior Architect staff. However, our sales strategy outperforms competitors by emphasizing:</w:t>
      </w:r>
    </w:p>
    <w:p>
      <w:pPr>
        <w:numPr>
          <w:ilvl w:val="0"/>
          <w:numId w:val="1003"/>
        </w:numPr>
        <w:pStyle w:val="Compact"/>
      </w:pPr>
      <w:r>
        <w:rPr>
          <w:iCs/>
          <w:i/>
        </w:rPr>
        <w:t xml:space="preserve">Proactive Compliance Expertise:</w:t>
      </w:r>
      <w:r>
        <w:t xml:space="preserve"> </w:t>
      </w:r>
      <w:r>
        <w:t xml:space="preserve">Our in-house team monitors LA-specific code updates (e.g., new seismic retrofitting requirements) before they impact client budgets.</w:t>
      </w:r>
    </w:p>
    <w:p>
      <w:pPr>
        <w:numPr>
          <w:ilvl w:val="0"/>
          <w:numId w:val="1003"/>
        </w:numPr>
        <w:pStyle w:val="Compact"/>
      </w:pPr>
      <w:r>
        <w:rPr>
          <w:iCs/>
          <w:i/>
        </w:rPr>
        <w:t xml:space="preserve">Cultural Fluency:</w:t>
      </w:r>
      <w:r>
        <w:t xml:space="preserve"> </w:t>
      </w:r>
      <w:r>
        <w:t xml:space="preserve">Understanding community narratives—such as advocating for culturally sensitive designs in Historic Filipinotown—builds trust and secures projects others overlook.</w:t>
      </w:r>
    </w:p>
    <w:p>
      <w:pPr>
        <w:pStyle w:val="FirstParagraph"/>
      </w:pPr>
      <w:r>
        <w:t xml:space="preserve">While firms from San Francisco dominate the high-end luxury segment, our focus on scalable solutions for mid-market developers (75% of our sales) has proven resilient during economic volatility.</w:t>
      </w:r>
    </w:p>
    <w:bookmarkEnd w:id="24"/>
    <w:bookmarkStart w:id="25" w:name="X0dd683661b858abbcfc37efcc363199f6c607cb"/>
    <w:p>
      <w:pPr>
        <w:pStyle w:val="Heading2"/>
      </w:pPr>
      <w:r>
        <w:t xml:space="preserve">Future Outlook: Capitalizing on LA’s Growth Trajectory</w:t>
      </w:r>
    </w:p>
    <w:p>
      <w:pPr>
        <w:pStyle w:val="FirstParagraph"/>
      </w:pPr>
      <w:r>
        <w:t xml:space="preserve">With Los Angeles projected to add 1.3M new residents by 2035, the demand for innovative Architect services will intensify. Our sales roadmap prioritizes:</w:t>
      </w:r>
    </w:p>
    <w:p>
      <w:pPr>
        <w:numPr>
          <w:ilvl w:val="0"/>
          <w:numId w:val="1004"/>
        </w:numPr>
        <w:pStyle w:val="Compact"/>
      </w:pPr>
      <w:r>
        <w:rPr>
          <w:bCs/>
          <w:b/>
        </w:rPr>
        <w:t xml:space="preserve">Expanding into Emerging Sectors:</w:t>
      </w:r>
      <w:r>
        <w:t xml:space="preserve"> </w:t>
      </w:r>
      <w:r>
        <w:t xml:space="preserve">Targeting $5M+ projects in LA’s growing affordable housing market (e.g., partnership with City of Los Angeles Housing Authority).</w:t>
      </w:r>
    </w:p>
    <w:p>
      <w:pPr>
        <w:numPr>
          <w:ilvl w:val="0"/>
          <w:numId w:val="1004"/>
        </w:numPr>
        <w:pStyle w:val="Compact"/>
      </w:pPr>
      <w:r>
        <w:rPr>
          <w:bCs/>
          <w:b/>
        </w:rPr>
        <w:t xml:space="preserve">Doubling Down on Tech-Enabled Sales:</w:t>
      </w:r>
      <w:r>
        <w:t xml:space="preserve"> </w:t>
      </w:r>
      <w:r>
        <w:t xml:space="preserve">Implementing AI-driven lead scoring to identify high-potential clients within LA’s booming proptech startup ecosystem.</w:t>
      </w:r>
    </w:p>
    <w:p>
      <w:pPr>
        <w:numPr>
          <w:ilvl w:val="0"/>
          <w:numId w:val="1004"/>
        </w:numPr>
        <w:pStyle w:val="Compact"/>
      </w:pPr>
      <w:r>
        <w:rPr>
          <w:bCs/>
          <w:b/>
        </w:rPr>
        <w:t xml:space="preserve">Strengthening Community Partnerships:</w:t>
      </w:r>
      <w:r>
        <w:t xml:space="preserve"> </w:t>
      </w:r>
      <w:r>
        <w:t xml:space="preserve">Launching the "LA Architect for All" initiative—providing pro-bono design services for underserved neighborhoods—to build goodwill and generate referral business.</w:t>
      </w:r>
    </w:p>
    <w:p>
      <w:pPr>
        <w:pStyle w:val="FirstParagraph"/>
      </w:pPr>
      <w:r>
        <w:t xml:space="preserve">The United States Los Angeles market is not just a sales territory; it’s a living laboratory where architectural excellence intersects with urban resilience. Our Architect team’s commitment to this region—rooted in local knowledge, sustainability leadership, and client-centric innovation—ensures we are not merely keeping pace with growth but actively shaping LA’s future skyline.</w:t>
      </w:r>
    </w:p>
    <w:bookmarkEnd w:id="25"/>
    <w:bookmarkStart w:id="26" w:name="conclusion"/>
    <w:p>
      <w:pPr>
        <w:pStyle w:val="Heading2"/>
      </w:pPr>
      <w:r>
        <w:t xml:space="preserve">Conclusion</w:t>
      </w:r>
    </w:p>
    <w:p>
      <w:pPr>
        <w:pStyle w:val="FirstParagraph"/>
      </w:pPr>
      <w:r>
        <w:t xml:space="preserve">This Sales Report underscores how a focused Architect strategy centered on United States Los Angeles’ unique opportunities delivers measurable results. By embedding ourselves within the city’s fabric, anticipating regulatory shifts, and aligning our services with LA’s vision for equitable, sustainable growth, we have established an unshakeable position as the preferred architectural partner for developers navigating Southern California’s complex market. The path forward is clear: leverage our local expertise to secure 30+ new projects in 2025 while deepening partnerships across all sectors of Los Angeles. As the city evolves, so will our Architect team—continuing to deliver value where it matters most.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Architect Sales Performance Report | United States</dc:title>
  <dc:creator/>
  <dc:language>en</dc:language>
  <cp:keywords/>
  <dcterms:created xsi:type="dcterms:W3CDTF">2026-07-23T22:32:58Z</dcterms:created>
  <dcterms:modified xsi:type="dcterms:W3CDTF">2026-07-23T22:32:58Z</dcterms:modified>
</cp:coreProperties>
</file>

<file path=docProps/custom.xml><?xml version="1.0" encoding="utf-8"?>
<Properties xmlns="http://schemas.openxmlformats.org/officeDocument/2006/custom-properties" xmlns:vt="http://schemas.openxmlformats.org/officeDocument/2006/docPropsVTypes"/>
</file>