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Architectural</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Miami</w:t>
      </w:r>
    </w:p>
    <w:bookmarkStart w:id="27" w:name="Xa51658ff92f5f8836c5c5f0093f2886b3b6db46"/>
    <w:p>
      <w:pPr>
        <w:pStyle w:val="Heading1"/>
      </w:pPr>
      <w:r>
        <w:t xml:space="preserve">Q3 2023 Sales Report: Premium Architectural Solutions for the United States Miami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Board of Directors, Miami Architecture Collective</w:t>
      </w:r>
      <w:r>
        <w:br/>
      </w:r>
      <w:r>
        <w:rPr>
          <w:bCs/>
          <w:b/>
        </w:rPr>
        <w:t xml:space="preserve">Purpose:</w:t>
      </w:r>
      <w:r>
        <w:t xml:space="preserve"> </w:t>
      </w:r>
      <w:r>
        <w:t xml:space="preserve">Comprehensive overview of sales performance, market trends, and strategic initiatives for our Architect firm serving the dynamic United States Miami landscape.</w:t>
      </w:r>
    </w:p>
    <w:bookmarkStart w:id="20" w:name="i.-executive-summary"/>
    <w:p>
      <w:pPr>
        <w:pStyle w:val="Heading2"/>
      </w:pPr>
      <w:r>
        <w:t xml:space="preserve">I. Executive Summary</w:t>
      </w:r>
    </w:p>
    <w:p>
      <w:pPr>
        <w:pStyle w:val="FirstParagraph"/>
      </w:pPr>
      <w:r>
        <w:t xml:space="preserve">The third quarter of 2023 marked a period of robust growth and strategic expansion for our Architect firm operating within the United States Miami market. With a focus on sustainable luxury design and adaptive resilience, we secured contracts totaling $18.7 million across 14 high-profile projects, representing a 22% year-over-year increase in sales revenue. This performance solidifies our position as a leading</w:t>
      </w:r>
      <w:r>
        <w:t xml:space="preserve"> </w:t>
      </w:r>
      <w:r>
        <w:rPr>
          <w:iCs/>
          <w:i/>
        </w:rPr>
        <w:t xml:space="preserve">Architect</w:t>
      </w:r>
      <w:r>
        <w:t xml:space="preserve"> </w:t>
      </w:r>
      <w:r>
        <w:t xml:space="preserve">firm catering specifically to Miami's unique demands. The Sales Report details this success, highlighting key market drivers, client satisfaction metrics, and actionable insights for navigating the competitive United States Miami architectural ecosystem.</w:t>
      </w:r>
    </w:p>
    <w:bookmarkEnd w:id="20"/>
    <w:bookmarkStart w:id="21" w:name="X9676930b71861d3a0a1835107ae7f0c1cf7ec68"/>
    <w:p>
      <w:pPr>
        <w:pStyle w:val="Heading2"/>
      </w:pPr>
      <w:r>
        <w:t xml:space="preserve">II. Miami Market Context &amp; Strategic Positioning</w:t>
      </w:r>
    </w:p>
    <w:p>
      <w:pPr>
        <w:pStyle w:val="FirstParagraph"/>
      </w:pPr>
      <w:r>
        <w:t xml:space="preserve">United States Miami remains a magnet for high-net-worth individuals and international investors seeking premium real estate in a vibrant coastal environment. Our sales strategy is intrinsically linked to understanding the city's specific challenges: hurricane resilience, rising sea levels, cultural diversity of neighborhoods (from Brickell to South Beach), and demand for smart, sustainable living. As a locally-rooted</w:t>
      </w:r>
      <w:r>
        <w:t xml:space="preserve"> </w:t>
      </w:r>
      <w:r>
        <w:rPr>
          <w:iCs/>
          <w:i/>
        </w:rPr>
        <w:t xml:space="preserve">Architect</w:t>
      </w:r>
      <w:r>
        <w:t xml:space="preserve"> </w:t>
      </w:r>
      <w:r>
        <w:t xml:space="preserve">firm specializing in these nuances, we've positioned ourselves not just as designers but as essential partners in Miami's built environment evolution. The United States Miami market’s projected 5% annual growth in commercial/residential construction (per FMI Corp.) directly fuels our sales pipeline.</w:t>
      </w:r>
    </w:p>
    <w:bookmarkEnd w:id="21"/>
    <w:bookmarkStart w:id="22" w:name="iii.-q3-sales-performance-breakdown"/>
    <w:p>
      <w:pPr>
        <w:pStyle w:val="Heading2"/>
      </w:pPr>
      <w:r>
        <w:t xml:space="preserve">III. Q3 Sales Performance Breakdown</w:t>
      </w:r>
    </w:p>
    <w:p>
      <w:pPr>
        <w:pStyle w:val="FirstParagraph"/>
      </w:pPr>
      <w:r>
        <w:rPr>
          <w:bCs/>
          <w:b/>
        </w:rPr>
        <w:t xml:space="preserve">Project Value &amp; Type Distribution:</w:t>
      </w:r>
    </w:p>
    <w:p>
      <w:pPr>
        <w:numPr>
          <w:ilvl w:val="0"/>
          <w:numId w:val="1001"/>
        </w:numPr>
        <w:pStyle w:val="Compact"/>
      </w:pPr>
      <w:r>
        <w:rPr>
          <w:bCs/>
          <w:b/>
        </w:rPr>
        <w:t xml:space="preserve">Luxury Residential (65% of Total Sales):</w:t>
      </w:r>
      <w:r>
        <w:t xml:space="preserve"> </w:t>
      </w:r>
      <w:r>
        <w:t xml:space="preserve">$12.1 million across 9 projects, including waterfront estates in Fisher Island and adaptive reuse of historic Art Deco structures in Ocean Drive. Key project: "The Azure Residences" (Brickell) – $4.3M contract for a 20-unit eco-luxury tower with advanced storm mitigation.</w:t>
      </w:r>
    </w:p>
    <w:p>
      <w:pPr>
        <w:numPr>
          <w:ilvl w:val="0"/>
          <w:numId w:val="1001"/>
        </w:numPr>
        <w:pStyle w:val="Compact"/>
      </w:pPr>
      <w:r>
        <w:rPr>
          <w:bCs/>
          <w:b/>
        </w:rPr>
        <w:t xml:space="preserve">Commercial &amp; Mixed-Use (25%):</w:t>
      </w:r>
      <w:r>
        <w:t xml:space="preserve"> </w:t>
      </w:r>
      <w:r>
        <w:t xml:space="preserve">$4.7 million on three projects: A tech hub expansion in MiamiTech Park, a wellness-focused retail complex in Wynwood, and a sustainable office retrofit for a major financial client.</w:t>
      </w:r>
    </w:p>
    <w:p>
      <w:pPr>
        <w:numPr>
          <w:ilvl w:val="0"/>
          <w:numId w:val="1001"/>
        </w:numPr>
        <w:pStyle w:val="Compact"/>
      </w:pPr>
      <w:r>
        <w:rPr>
          <w:bCs/>
          <w:b/>
        </w:rPr>
        <w:t xml:space="preserve">Sustainability &amp; Resilience Consulting (10%):</w:t>
      </w:r>
      <w:r>
        <w:t xml:space="preserve"> </w:t>
      </w:r>
      <w:r>
        <w:t xml:space="preserve">$1.9 million for specialized services including FEMA-compliant elevation design and energy-efficient retrofits – a rapidly growing service line driven by Miami-Dade County’s new building codes.</w:t>
      </w:r>
    </w:p>
    <w:p>
      <w:pPr>
        <w:pStyle w:val="FirstParagraph"/>
      </w:pPr>
      <w:r>
        <w:rPr>
          <w:bCs/>
          <w:b/>
        </w:rPr>
        <w:t xml:space="preserve">Client Acquisition &amp; Retention:</w:t>
      </w:r>
    </w:p>
    <w:p>
      <w:pPr>
        <w:numPr>
          <w:ilvl w:val="0"/>
          <w:numId w:val="1002"/>
        </w:numPr>
        <w:pStyle w:val="Compact"/>
      </w:pPr>
      <w:r>
        <w:t xml:space="preserve">35% of new contracts secured through repeat clients (e.g., long-term partnership with the Perez Art Museum Miami for site planning).</w:t>
      </w:r>
    </w:p>
    <w:p>
      <w:pPr>
        <w:numPr>
          <w:ilvl w:val="0"/>
          <w:numId w:val="1002"/>
        </w:numPr>
        <w:pStyle w:val="Compact"/>
      </w:pPr>
      <w:r>
        <w:t xml:space="preserve">New client acquisition focused on international buyers (28% from Europe/Asia) seeking turnkey, hurricane-ready designs.</w:t>
      </w:r>
    </w:p>
    <w:p>
      <w:pPr>
        <w:numPr>
          <w:ilvl w:val="0"/>
          <w:numId w:val="1002"/>
        </w:numPr>
        <w:pStyle w:val="Compact"/>
      </w:pPr>
      <w:r>
        <w:t xml:space="preserve">Client satisfaction score: 94.2% (up from 91.5% YoY), directly linked to our Architect team's responsiveness to Miami-specific regulatory hurdles and site constraints.</w:t>
      </w:r>
    </w:p>
    <w:bookmarkEnd w:id="22"/>
    <w:bookmarkStart w:id="23" w:name="Xf5954186c8243ab696b9840e1b0b8df0d21ac3e"/>
    <w:p>
      <w:pPr>
        <w:pStyle w:val="Heading2"/>
      </w:pPr>
      <w:r>
        <w:t xml:space="preserve">IV. Key Success Drivers in the Miami Market</w:t>
      </w:r>
    </w:p>
    <w:p>
      <w:pPr>
        <w:pStyle w:val="FirstParagraph"/>
      </w:pPr>
      <w:r>
        <w:t xml:space="preserve">Our Q3 success stems from three core pillars uniquely aligned with United States Miami's needs:</w:t>
      </w:r>
    </w:p>
    <w:p>
      <w:pPr>
        <w:numPr>
          <w:ilvl w:val="0"/>
          <w:numId w:val="1003"/>
        </w:numPr>
        <w:pStyle w:val="Compact"/>
      </w:pPr>
      <w:r>
        <w:rPr>
          <w:bCs/>
          <w:b/>
        </w:rPr>
        <w:t xml:space="preserve">Hyper-Local Expertise:</w:t>
      </w:r>
      <w:r>
        <w:t xml:space="preserve"> </w:t>
      </w:r>
      <w:r>
        <w:t xml:space="preserve">Our Architect team possesses deep knowledge of Miami-Dade building codes, soil conditions, coastal regulations, and cultural preferences – eliminating costly rework. Example: Successfully navigating complex permitting for the "Terra Mar" project in Coconut Grove by incorporating community input early.</w:t>
      </w:r>
    </w:p>
    <w:p>
      <w:pPr>
        <w:numPr>
          <w:ilvl w:val="0"/>
          <w:numId w:val="1003"/>
        </w:numPr>
        <w:pStyle w:val="Compact"/>
      </w:pPr>
      <w:r>
        <w:rPr>
          <w:bCs/>
          <w:b/>
        </w:rPr>
        <w:t xml:space="preserve">Resilience as a Premium Feature:</w:t>
      </w:r>
      <w:r>
        <w:t xml:space="preserve"> </w:t>
      </w:r>
      <w:r>
        <w:t xml:space="preserve">Positioning hurricane-proof design not as a cost but as an investment. Clients actively seek firms like ours who integrate passive cooling, impact-resistant glazing, and elevated foundations into luxury aesthetics – a direct response to Miami's climate realities.</w:t>
      </w:r>
    </w:p>
    <w:p>
      <w:pPr>
        <w:numPr>
          <w:ilvl w:val="0"/>
          <w:numId w:val="1003"/>
        </w:numPr>
        <w:pStyle w:val="Compact"/>
      </w:pPr>
      <w:r>
        <w:rPr>
          <w:bCs/>
          <w:b/>
        </w:rPr>
        <w:t xml:space="preserve">Digital Integration for Miami’s Pace:</w:t>
      </w:r>
      <w:r>
        <w:t xml:space="preserve"> </w:t>
      </w:r>
      <w:r>
        <w:t xml:space="preserve">Utilizing BIM (Building Information Modeling) and VR walkthroughs streamlined client approvals in a fast-moving market. This reduced design iteration time by 30%, critical for high-stakes Miami projects with tight development timelines.</w:t>
      </w:r>
    </w:p>
    <w:bookmarkEnd w:id="23"/>
    <w:bookmarkStart w:id="24" w:name="v.-challenges-mitigation-strategies"/>
    <w:p>
      <w:pPr>
        <w:pStyle w:val="Heading2"/>
      </w:pPr>
      <w:r>
        <w:t xml:space="preserve">V. Challenges &amp; Mitigation Strategies</w:t>
      </w:r>
    </w:p>
    <w:p>
      <w:pPr>
        <w:pStyle w:val="FirstParagraph"/>
      </w:pPr>
      <w:r>
        <w:t xml:space="preserve">Despite strong sales, the United States Miami market presents specific hurdles:</w:t>
      </w:r>
    </w:p>
    <w:p>
      <w:pPr>
        <w:numPr>
          <w:ilvl w:val="0"/>
          <w:numId w:val="1004"/>
        </w:numPr>
        <w:pStyle w:val="Compact"/>
      </w:pPr>
      <w:r>
        <w:rPr>
          <w:bCs/>
          <w:b/>
        </w:rPr>
        <w:t xml:space="preserve">Supply Chain Delays:</w:t>
      </w:r>
      <w:r>
        <w:t xml:space="preserve"> </w:t>
      </w:r>
      <w:r>
        <w:t xml:space="preserve">Rising costs for sustainable materials (e.g., reclaimed wood, marine-grade steel) impacted project margins. *Mitigation:* We secured long-term supplier contracts with local vendors and bundled material sourcing into our service package, improving client value perception.</w:t>
      </w:r>
    </w:p>
    <w:p>
      <w:pPr>
        <w:numPr>
          <w:ilvl w:val="0"/>
          <w:numId w:val="1004"/>
        </w:numPr>
        <w:pStyle w:val="Compact"/>
      </w:pPr>
      <w:r>
        <w:rPr>
          <w:bCs/>
          <w:b/>
        </w:rPr>
        <w:t xml:space="preserve">Regulatory Complexity:</w:t>
      </w:r>
      <w:r>
        <w:t xml:space="preserve"> </w:t>
      </w:r>
      <w:r>
        <w:t xml:space="preserve">Evolving Miami-Dade County zoning for coastal resilience created design constraints. *Mitigation:* Our dedicated municipal liaison team now engages county officials during the schematic phase, reducing approval delays by 25%.</w:t>
      </w:r>
    </w:p>
    <w:p>
      <w:pPr>
        <w:numPr>
          <w:ilvl w:val="0"/>
          <w:numId w:val="1004"/>
        </w:numPr>
        <w:pStyle w:val="Compact"/>
      </w:pPr>
      <w:r>
        <w:rPr>
          <w:bCs/>
          <w:b/>
        </w:rPr>
        <w:t xml:space="preserve">Intense Competition:</w:t>
      </w:r>
      <w:r>
        <w:t xml:space="preserve"> </w:t>
      </w:r>
      <w:r>
        <w:t xml:space="preserve">Entry of national firms targeting Miami luxury market. *Mitigation:* We doubled down on our niche – deep local knowledge and a proven track record with high-end, resilient projects – differentiating us as the trusted</w:t>
      </w:r>
      <w:r>
        <w:t xml:space="preserve"> </w:t>
      </w:r>
      <w:r>
        <w:rPr>
          <w:iCs/>
          <w:i/>
        </w:rPr>
        <w:t xml:space="preserve">Architect</w:t>
      </w:r>
      <w:r>
        <w:t xml:space="preserve"> </w:t>
      </w:r>
      <w:r>
        <w:t xml:space="preserve">for Miami's unique challenges.</w:t>
      </w:r>
    </w:p>
    <w:bookmarkEnd w:id="24"/>
    <w:bookmarkStart w:id="25" w:name="vi.-q4-strategic-focus-sales-projections"/>
    <w:p>
      <w:pPr>
        <w:pStyle w:val="Heading2"/>
      </w:pPr>
      <w:r>
        <w:t xml:space="preserve">VI. Q4 Strategic Focus &amp; Sales Projections</w:t>
      </w:r>
    </w:p>
    <w:p>
      <w:pPr>
        <w:pStyle w:val="FirstParagraph"/>
      </w:pPr>
      <w:r>
        <w:t xml:space="preserve">Based on the strong Q3 trajectory and Miami’s active pipeline (including major developments like "The 710" in Downtown), we project a minimum 15% increase in sales for Q4, targeting $21.5 million. Our strategic focus includes:</w:t>
      </w:r>
    </w:p>
    <w:p>
      <w:pPr>
        <w:numPr>
          <w:ilvl w:val="0"/>
          <w:numId w:val="1005"/>
        </w:numPr>
        <w:pStyle w:val="Compact"/>
      </w:pPr>
      <w:r>
        <w:rPr>
          <w:bCs/>
          <w:b/>
        </w:rPr>
        <w:t xml:space="preserve">Expanding Resilience Services:</w:t>
      </w:r>
      <w:r>
        <w:t xml:space="preserve"> </w:t>
      </w:r>
      <w:r>
        <w:t xml:space="preserve">Launching a dedicated "Miami Coastal Resilience Advisory" package to capitalize on new county mandates.</w:t>
      </w:r>
    </w:p>
    <w:p>
      <w:pPr>
        <w:numPr>
          <w:ilvl w:val="0"/>
          <w:numId w:val="1005"/>
        </w:numPr>
        <w:pStyle w:val="Compact"/>
      </w:pPr>
      <w:r>
        <w:rPr>
          <w:bCs/>
          <w:b/>
        </w:rPr>
        <w:t xml:space="preserve">Leveraging Miami’s Sustainability Push:</w:t>
      </w:r>
      <w:r>
        <w:t xml:space="preserve"> </w:t>
      </w:r>
      <w:r>
        <w:t xml:space="preserve">Targeting LEED Platinum certifications for all new luxury residential projects – a key selling point for international buyers.</w:t>
      </w:r>
    </w:p>
    <w:p>
      <w:pPr>
        <w:numPr>
          <w:ilvl w:val="0"/>
          <w:numId w:val="1005"/>
        </w:numPr>
        <w:pStyle w:val="Compact"/>
      </w:pPr>
      <w:r>
        <w:rPr>
          <w:bCs/>
          <w:b/>
        </w:rPr>
        <w:t xml:space="preserve">Strengthening Local Partnerships:</w:t>
      </w:r>
      <w:r>
        <w:t xml:space="preserve"> </w:t>
      </w:r>
      <w:r>
        <w:t xml:space="preserve">Formalizing alliances with Miami-based developers (e.g., Related Group, AKA) to secure exclusive project opportunities in emerging neighborhoods like Brickell City Centre expansions.</w:t>
      </w:r>
    </w:p>
    <w:bookmarkEnd w:id="25"/>
    <w:bookmarkStart w:id="26" w:name="vii.-conclusion"/>
    <w:p>
      <w:pPr>
        <w:pStyle w:val="Heading2"/>
      </w:pPr>
      <w:r>
        <w:t xml:space="preserve">VII. Conclusion</w:t>
      </w:r>
    </w:p>
    <w:p>
      <w:pPr>
        <w:pStyle w:val="FirstParagraph"/>
      </w:pPr>
      <w:r>
        <w:t xml:space="preserve">The Q3 2023 Sales Report underscores our firm’s unwavering commitment to excellence as the premier Architect for the United States Miami market. By embedding deep local knowledge into every service, prioritizing climate resilience as a core design value, and delivering exceptional client experiences within Miami's unique regulatory and environmental framework, we have not only met but exceeded sales targets. Our success is a testament to understanding that in Miami, architecture isn't just about aesthetics – it's about creating enduring value through intelligent design for the city's demanding future. As the United States Miami landscape continues its transformative growth, our Architect team stands ready to lead with innovation, expertise, and an unshakeable focus on what makes this market truly distinctive. This Sales Report confirms our strategic path: to be the undisputed choice of discerning clients seeking architectural excellence rooted in the heart of Miami.</w:t>
      </w:r>
    </w:p>
    <w:p>
      <w:pPr>
        <w:pStyle w:val="BodyText"/>
      </w:pPr>
      <w:r>
        <w:rPr>
          <w:bCs/>
          <w:b/>
        </w:rPr>
        <w:t xml:space="preserve">Prepared By:</w:t>
      </w:r>
      <w:r>
        <w:t xml:space="preserve"> </w:t>
      </w:r>
      <w:r>
        <w:t xml:space="preserve">Elena Rodriguez, Chief Revenue Officer</w:t>
      </w:r>
      <w:r>
        <w:br/>
      </w:r>
      <w:r>
        <w:rPr>
          <w:bCs/>
          <w:b/>
        </w:rPr>
        <w:t xml:space="preserve">Firm:</w:t>
      </w:r>
      <w:r>
        <w:t xml:space="preserve"> </w:t>
      </w:r>
      <w:r>
        <w:t xml:space="preserve">Miami Architecture Collective (MAC)</w:t>
      </w:r>
      <w:r>
        <w:br/>
      </w:r>
      <w:r>
        <w:rPr>
          <w:bCs/>
          <w:b/>
        </w:rPr>
        <w:t xml:space="preserve">Contact:</w:t>
      </w:r>
      <w:r>
        <w:t xml:space="preserve"> </w:t>
      </w:r>
      <w:r>
        <w:t xml:space="preserve">erodriguez@macmiami.com | (305) 555-0198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Architectural Services in United States Miami</dc:title>
  <dc:creator/>
  <dc:language>en</dc:language>
  <cp:keywords/>
  <dcterms:created xsi:type="dcterms:W3CDTF">2026-07-23T10:44:49Z</dcterms:created>
  <dcterms:modified xsi:type="dcterms:W3CDTF">2026-07-23T10:44:49Z</dcterms:modified>
</cp:coreProperties>
</file>

<file path=docProps/custom.xml><?xml version="1.0" encoding="utf-8"?>
<Properties xmlns="http://schemas.openxmlformats.org/officeDocument/2006/custom-properties" xmlns:vt="http://schemas.openxmlformats.org/officeDocument/2006/docPropsVTypes"/>
</file>