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17c670deb27202c52510e2bda12c58ff1720383"/>
    <w:p>
      <w:pPr>
        <w:pStyle w:val="Heading1"/>
      </w:pPr>
      <w:r>
        <w:t xml:space="preserve">SALES REPORT FOR ARCHITECTURAL SERVICES IN UNITED STATES NEW YORK CITY</w:t>
      </w:r>
    </w:p>
    <w:p>
      <w:pPr>
        <w:pStyle w:val="FirstParagraph"/>
      </w:pPr>
      <w:r>
        <w:t xml:space="preserve">Prepared for Executive Leadership &amp; Stakeholders | Q3 2023</w:t>
      </w:r>
    </w:p>
    <w:bookmarkStart w:id="20" w:name="executive-summary"/>
    <w:p>
      <w:pPr>
        <w:pStyle w:val="Heading2"/>
      </w:pPr>
      <w:r>
        <w:t xml:space="preserve">Executive Summary</w:t>
      </w:r>
    </w:p>
    <w:p>
      <w:pPr>
        <w:pStyle w:val="FirstParagraph"/>
      </w:pPr>
      <w:r>
        <w:t xml:space="preserve">This comprehensive Sales Report details the performance of our architectural practice across United States New York City during the third quarter of 2023. As a leading design firm specializing in high-stakes urban architecture, we've navigated NYC's dynamic market with strategic focus on sustainable development and adaptive reuse projects. The quarter demonstrated remarkable growth with a</w:t>
      </w:r>
      <w:r>
        <w:t xml:space="preserve"> </w:t>
      </w:r>
      <w:r>
        <w:rPr>
          <w:bCs/>
          <w:b/>
        </w:rPr>
        <w:t xml:space="preserve">17% year-over-year increase</w:t>
      </w:r>
      <w:r>
        <w:t xml:space="preserve"> </w:t>
      </w:r>
      <w:r>
        <w:t xml:space="preserve">in signed contracts, totaling $4.2 million in new sales revenue. This report confirms our position as a pivotal player in shaping New York City's evolving skyline while adhering to the city's stringent regulatory framework and market demands.</w:t>
      </w:r>
    </w:p>
    <w:bookmarkEnd w:id="20"/>
    <w:bookmarkStart w:id="21" w:name="X2faba342d7df18e111527e9b1d51f884a74b4a9"/>
    <w:p>
      <w:pPr>
        <w:pStyle w:val="Heading2"/>
      </w:pPr>
      <w:r>
        <w:t xml:space="preserve">Market Context: The NYC Architectural Landscape</w:t>
      </w:r>
    </w:p>
    <w:p>
      <w:pPr>
        <w:pStyle w:val="FirstParagraph"/>
      </w:pPr>
      <w:r>
        <w:t xml:space="preserve">New York City remains the most competitive architectural market in the United States, characterized by its unique blend of historical preservation requirements and cutting-edge development needs. In Q3 2023, we observed three critical trends influencing our sales strategy:</w:t>
      </w:r>
    </w:p>
    <w:p>
      <w:pPr>
        <w:numPr>
          <w:ilvl w:val="0"/>
          <w:numId w:val="1001"/>
        </w:numPr>
        <w:pStyle w:val="Compact"/>
      </w:pPr>
      <w:r>
        <w:rPr>
          <w:bCs/>
          <w:b/>
        </w:rPr>
        <w:t xml:space="preserve">Regulatory Acceleration</w:t>
      </w:r>
      <w:r>
        <w:t xml:space="preserve">: NYC's Zoning for Quality and Affordability (ZQA) initiative created immediate demand for architects skilled in navigating complex density bonuses and affordable housing mandates.</w:t>
      </w:r>
    </w:p>
    <w:p>
      <w:pPr>
        <w:numPr>
          <w:ilvl w:val="0"/>
          <w:numId w:val="1001"/>
        </w:numPr>
        <w:pStyle w:val="Compact"/>
      </w:pPr>
      <w:r>
        <w:rPr>
          <w:bCs/>
          <w:b/>
        </w:rPr>
        <w:t xml:space="preserve">Sustainability Imperative</w:t>
      </w:r>
      <w:r>
        <w:t xml:space="preserve">: 83% of new commercial projects now require LEED Gold certification, driving our sales team to emphasize our integrated sustainable design portfolio.</w:t>
      </w:r>
    </w:p>
    <w:p>
      <w:pPr>
        <w:numPr>
          <w:ilvl w:val="0"/>
          <w:numId w:val="1001"/>
        </w:numPr>
        <w:pStyle w:val="Compact"/>
      </w:pPr>
      <w:r>
        <w:rPr>
          <w:bCs/>
          <w:b/>
        </w:rPr>
        <w:t xml:space="preserve">Adaptive Reuse Surge</w:t>
      </w:r>
      <w:r>
        <w:t xml:space="preserve">: With over 200 historic structures under consideration for conversion (per NYC Department of Buildings data), we positioned ourselves as the premier firm for transforming legacy assets into modern spaces.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Contracts</w:t>
            </w:r>
          </w:p>
        </w:tc>
        <w:tc>
          <w:tcPr/>
          <w:p>
            <w:pPr>
              <w:pStyle w:val="Compact"/>
              <w:jc w:val="left"/>
            </w:pPr>
            <w:r>
              <w:t xml:space="preserve">Revenue Generated ($)</w:t>
            </w:r>
          </w:p>
        </w:tc>
        <w:tc>
          <w:tcPr/>
          <w:p>
            <w:pPr>
              <w:pStyle w:val="Compact"/>
              <w:jc w:val="left"/>
            </w:pPr>
            <w:r>
              <w:t xml:space="preserve">% Growth vs Q2 2023</w:t>
            </w:r>
          </w:p>
        </w:tc>
      </w:tr>
      <w:tr>
        <w:tc>
          <w:tcPr/>
          <w:p>
            <w:pPr>
              <w:pStyle w:val="Compact"/>
              <w:jc w:val="left"/>
            </w:pPr>
            <w:r>
              <w:t xml:space="preserve">Luxury Residential (High-Rise)</w:t>
            </w:r>
          </w:p>
        </w:tc>
        <w:tc>
          <w:tcPr/>
          <w:p>
            <w:pPr>
              <w:pStyle w:val="Compact"/>
              <w:jc w:val="left"/>
            </w:pPr>
            <w:r>
              <w:t xml:space="preserve">14</w:t>
            </w:r>
          </w:p>
        </w:tc>
        <w:tc>
          <w:tcPr/>
          <w:p>
            <w:pPr>
              <w:pStyle w:val="Compact"/>
              <w:jc w:val="left"/>
            </w:pPr>
            <w:r>
              <w:t xml:space="preserve">$1,850,000</w:t>
            </w:r>
          </w:p>
        </w:tc>
        <w:tc>
          <w:tcPr/>
          <w:p>
            <w:pPr>
              <w:pStyle w:val="Compact"/>
              <w:jc w:val="left"/>
            </w:pPr>
            <w:r>
              <w:t xml:space="preserve">+22%</w:t>
            </w:r>
          </w:p>
        </w:tc>
      </w:tr>
      <w:tr>
        <w:tc>
          <w:tcPr/>
          <w:p>
            <w:pPr>
              <w:pStyle w:val="Compact"/>
              <w:jc w:val="left"/>
            </w:pPr>
            <w:r>
              <w:t xml:space="preserve">Commercial Adaptive Reuse</w:t>
            </w:r>
          </w:p>
        </w:tc>
        <w:tc>
          <w:tcPr/>
          <w:p>
            <w:pPr>
              <w:pStyle w:val="Compact"/>
              <w:jc w:val="left"/>
            </w:pPr>
            <w:r>
              <w:t xml:space="preserve">8</w:t>
            </w:r>
          </w:p>
        </w:tc>
        <w:tc>
          <w:tcPr/>
          <w:p>
            <w:pPr>
              <w:pStyle w:val="Compact"/>
              <w:jc w:val="left"/>
            </w:pPr>
            <w:r>
              <w:t xml:space="preserve">$1,325,000</w:t>
            </w:r>
          </w:p>
        </w:tc>
        <w:tc>
          <w:tcPr/>
          <w:p>
            <w:pPr>
              <w:pStyle w:val="Compact"/>
              <w:jc w:val="left"/>
            </w:pPr>
            <w:r>
              <w:t xml:space="preserve">+37%</w:t>
            </w:r>
          </w:p>
        </w:tc>
      </w:tr>
      <w:tr>
        <w:tc>
          <w:tcPr/>
          <w:p>
            <w:pPr>
              <w:pStyle w:val="Compact"/>
              <w:jc w:val="left"/>
            </w:pPr>
            <w:r>
              <w:t xml:space="preserve">Sustainable Mixed-Use Developments</w:t>
            </w:r>
          </w:p>
        </w:tc>
        <w:tc>
          <w:tcPr/>
          <w:p>
            <w:pPr>
              <w:pStyle w:val="Compact"/>
              <w:jc w:val="left"/>
            </w:pPr>
            <w:r>
              <w:t xml:space="preserve">6</w:t>
            </w:r>
          </w:p>
        </w:tc>
        <w:tc>
          <w:tcPr/>
          <w:p>
            <w:pPr>
              <w:pStyle w:val="Compact"/>
              <w:jc w:val="left"/>
            </w:pPr>
            <w:r>
              <w:t xml:space="preserve">$1,025,000</w:t>
            </w:r>
          </w:p>
        </w:tc>
        <w:tc>
          <w:tcPr/>
          <w:p>
            <w:pPr>
              <w:pStyle w:val="Compact"/>
              <w:jc w:val="left"/>
            </w:pPr>
            <w:r>
              <w:t xml:space="preserve">+18%</w:t>
            </w:r>
          </w:p>
        </w:tc>
      </w:tr>
      <w:tr>
        <w:tc>
          <w:tcPr/>
          <w:p>
            <w:pPr>
              <w:pStyle w:val="Compact"/>
              <w:jc w:val="left"/>
            </w:pPr>
            <w:r>
              <w:rPr>
                <w:bCs/>
                <w:b/>
              </w:rPr>
              <w:t xml:space="preserve">Total</w:t>
            </w:r>
          </w:p>
        </w:tc>
        <w:tc>
          <w:tcPr/>
          <w:p>
            <w:pPr>
              <w:pStyle w:val="Compact"/>
              <w:jc w:val="left"/>
            </w:pPr>
            <w:r>
              <w:rPr>
                <w:bCs/>
                <w:b/>
              </w:rPr>
              <w:t xml:space="preserve">28</w:t>
            </w:r>
          </w:p>
        </w:tc>
        <w:tc>
          <w:tcPr/>
          <w:p>
            <w:pPr>
              <w:pStyle w:val="Compact"/>
              <w:jc w:val="left"/>
            </w:pPr>
            <w:r>
              <w:rPr>
                <w:bCs/>
                <w:b/>
              </w:rPr>
              <w:t xml:space="preserve">$4,200,000</w:t>
            </w:r>
          </w:p>
        </w:tc>
        <w:tc>
          <w:tcPr/>
          <w:p>
            <w:pPr>
              <w:pStyle w:val="Compact"/>
              <w:jc w:val="left"/>
            </w:pPr>
            <w:r>
              <w:rPr>
                <w:bCs/>
                <w:b/>
              </w:rPr>
              <w:t xml:space="preserve">+17%</w:t>
            </w:r>
          </w:p>
        </w:tc>
      </w:tr>
    </w:tbl>
    <w:p>
      <w:pPr>
        <w:pStyle w:val="BodyText"/>
      </w:pPr>
      <w:r>
        <w:t xml:space="preserve">Our sales pipeline reflects exceptional momentum with 42 active prospects totaling $8.7 million in potential revenue. Notably, we secured three major contracts exceeding $500,000 each through targeted outreach to developers navigating the city's new construction guidelines.</w:t>
      </w:r>
    </w:p>
    <w:bookmarkEnd w:id="22"/>
    <w:bookmarkStart w:id="26" w:name="X2271bee06a09ebdb11c8a5f5a78d185198bb9aa"/>
    <w:p>
      <w:pPr>
        <w:pStyle w:val="Heading2"/>
      </w:pPr>
      <w:r>
        <w:t xml:space="preserve">Key Client Acquisitions &amp; Project Highlights</w:t>
      </w:r>
    </w:p>
    <w:bookmarkStart w:id="23" w:name="Xe1f72e59d2f338a42792817107cff1bc7bbd2c4"/>
    <w:p>
      <w:pPr>
        <w:pStyle w:val="Heading3"/>
      </w:pPr>
      <w:r>
        <w:t xml:space="preserve">1. The Hudson Yards Adaptive Reuse Initiative</w:t>
      </w:r>
    </w:p>
    <w:p>
      <w:pPr>
        <w:pStyle w:val="FirstParagraph"/>
      </w:pPr>
      <w:r>
        <w:t xml:space="preserve">Secured $750,000 contract from a prominent real estate consortium to transform a 1920s warehouse into luxury co-working space. This project exemplifies our specialized expertise in NYC's adaptive reuse market, requiring delicate balance between historical preservation and modern functionality. The Architect team led by Principal Emily Chen successfully navigated Department of Cultural Affairs requirements while exceeding client expectations for sustainable certifications.</w:t>
      </w:r>
    </w:p>
    <w:bookmarkEnd w:id="23"/>
    <w:bookmarkStart w:id="24" w:name="brooklyn-bridge-west-residential-tower"/>
    <w:p>
      <w:pPr>
        <w:pStyle w:val="Heading3"/>
      </w:pPr>
      <w:r>
        <w:t xml:space="preserve">2. Brooklyn Bridge West Residential Tower</w:t>
      </w:r>
    </w:p>
    <w:p>
      <w:pPr>
        <w:pStyle w:val="FirstParagraph"/>
      </w:pPr>
      <w:r>
        <w:t xml:space="preserve">Won the $950,000 design contract for a 65-story residential tower in DUMBO. This high-profile project was secured through our strategic partnership with the city's Housing Preservation &amp; Development agency, aligning with their affordability goals. The Architect team's proposal emphasized innovative vertical community spaces that directly responded to NYC's housing crisis—a key selling point during client negotiations.</w:t>
      </w:r>
    </w:p>
    <w:bookmarkEnd w:id="24"/>
    <w:bookmarkStart w:id="25" w:name="Xcda7fd951762d4e87305dba531e98062ccd7e22"/>
    <w:p>
      <w:pPr>
        <w:pStyle w:val="Heading3"/>
      </w:pPr>
      <w:r>
        <w:t xml:space="preserve">3. Financial District Sustainable Office Campus</w:t>
      </w:r>
    </w:p>
    <w:p>
      <w:pPr>
        <w:pStyle w:val="FirstParagraph"/>
      </w:pPr>
      <w:r>
        <w:t xml:space="preserve">Closed a $520,000 contract with a Fortune 500 firm for the first fully carbon-neutral commercial retrofit in Manhattan. This project highlights our differentiation through proprietary energy modeling tools that delivered 41% operational cost reduction—exceeding NYC's mandatory 82% emissions target by 2038. The Architect's technical sales presentation directly addressed the client's ESG compliance requirements.</w:t>
      </w:r>
    </w:p>
    <w:bookmarkEnd w:id="25"/>
    <w:bookmarkEnd w:id="26"/>
    <w:bookmarkStart w:id="27" w:name="competitive-positioning-in-new-york-city"/>
    <w:p>
      <w:pPr>
        <w:pStyle w:val="Heading2"/>
      </w:pPr>
      <w:r>
        <w:t xml:space="preserve">Competitive Positioning in New York City</w:t>
      </w:r>
    </w:p>
    <w:p>
      <w:pPr>
        <w:pStyle w:val="FirstParagraph"/>
      </w:pPr>
      <w:r>
        <w:t xml:space="preserve">Our competitive analysis reveals a distinct market advantage in NYC where:</w:t>
      </w:r>
    </w:p>
    <w:p>
      <w:pPr>
        <w:numPr>
          <w:ilvl w:val="0"/>
          <w:numId w:val="1002"/>
        </w:numPr>
        <w:pStyle w:val="Compact"/>
      </w:pPr>
      <w:r>
        <w:rPr>
          <w:bCs/>
          <w:b/>
        </w:rPr>
        <w:t xml:space="preserve">Regulatory Navigation</w:t>
      </w:r>
      <w:r>
        <w:t xml:space="preserve">: Our team possesses extensive experience with NYC's complex building codes and DOB approval processes—critical for clients avoiding costly delays.</w:t>
      </w:r>
    </w:p>
    <w:p>
      <w:pPr>
        <w:numPr>
          <w:ilvl w:val="0"/>
          <w:numId w:val="1002"/>
        </w:numPr>
        <w:pStyle w:val="Compact"/>
      </w:pPr>
      <w:r>
        <w:rPr>
          <w:bCs/>
          <w:b/>
        </w:rPr>
        <w:t xml:space="preserve">Niche Specialization</w:t>
      </w:r>
      <w:r>
        <w:t xml:space="preserve">: We are the only firm in Manhattan with dedicated departments for both historical preservation compliance and net-zero design implementation.</w:t>
      </w:r>
    </w:p>
    <w:p>
      <w:pPr>
        <w:numPr>
          <w:ilvl w:val="0"/>
          <w:numId w:val="1002"/>
        </w:numPr>
        <w:pStyle w:val="Compact"/>
      </w:pPr>
      <w:r>
        <w:rPr>
          <w:bCs/>
          <w:b/>
        </w:rPr>
        <w:t xml:space="preserve">City Relationships</w:t>
      </w:r>
      <w:r>
        <w:t xml:space="preserve">: Strategic partnerships with NYC Economic Development Corporation and Landmarks Preservation Commission significantly accelerated proposal approvals.</w:t>
      </w:r>
    </w:p>
    <w:p>
      <w:pPr>
        <w:pStyle w:val="FirstParagraph"/>
      </w:pPr>
      <w:r>
        <w:t xml:space="preserve">While national firms compete on scale, our hyper-local expertise generates superior conversion rates (32% vs. industry average 19%) when targeting NYC-based developers.</w:t>
      </w:r>
    </w:p>
    <w:bookmarkEnd w:id="27"/>
    <w:bookmarkStart w:id="28" w:name="challenges-strategic-response"/>
    <w:p>
      <w:pPr>
        <w:pStyle w:val="Heading2"/>
      </w:pPr>
      <w:r>
        <w:t xml:space="preserve">Challenges &amp; Strategic Response</w:t>
      </w:r>
    </w:p>
    <w:p>
      <w:pPr>
        <w:pStyle w:val="FirstParagraph"/>
      </w:pPr>
      <w:r>
        <w:t xml:space="preserve">Two primary challenges emerged in our Q3 sales operations:</w:t>
      </w:r>
    </w:p>
    <w:p>
      <w:pPr>
        <w:numPr>
          <w:ilvl w:val="0"/>
          <w:numId w:val="1003"/>
        </w:numPr>
        <w:pStyle w:val="Compact"/>
      </w:pPr>
      <w:r>
        <w:rPr>
          <w:bCs/>
          <w:b/>
        </w:rPr>
        <w:t xml:space="preserve">Regulatory Volatility</w:t>
      </w:r>
      <w:r>
        <w:t xml:space="preserve">: Sudden zoning changes for Midtown East required rapid adaptation of our sales collateral. Response: Implemented real-time regulatory tracking system integrated with our CRM, reducing proposal revision time by 40%.</w:t>
      </w:r>
    </w:p>
    <w:p>
      <w:pPr>
        <w:numPr>
          <w:ilvl w:val="0"/>
          <w:numId w:val="1003"/>
        </w:numPr>
        <w:pStyle w:val="Compact"/>
      </w:pPr>
      <w:r>
        <w:rPr>
          <w:bCs/>
          <w:b/>
        </w:rPr>
        <w:t xml:space="preserve">Competition from Tech-Forward Firms</w:t>
      </w:r>
      <w:r>
        <w:t xml:space="preserve">: New entrants offering AI-driven design tools threatened traditional architectural sales models. Response: Positioned our Architect team as the human-centric counterpart to technology, emphasizing collaborative client relationships through personalized site visits and city-specific expertise.</w:t>
      </w:r>
    </w:p>
    <w:bookmarkEnd w:id="28"/>
    <w:bookmarkStart w:id="29" w:name="future-outlook-strategic-recommendations"/>
    <w:p>
      <w:pPr>
        <w:pStyle w:val="Heading2"/>
      </w:pPr>
      <w:r>
        <w:t xml:space="preserve">Future Outlook &amp; Strategic Recommendations</w:t>
      </w:r>
    </w:p>
    <w:p>
      <w:pPr>
        <w:pStyle w:val="FirstParagraph"/>
      </w:pPr>
      <w:r>
        <w:t xml:space="preserve">Based on current market indicators in United States New York City, we project continued growth for the Architect team through Q4 2023. Key opportunities include:</w:t>
      </w:r>
    </w:p>
    <w:p>
      <w:pPr>
        <w:numPr>
          <w:ilvl w:val="0"/>
          <w:numId w:val="1004"/>
        </w:numPr>
        <w:pStyle w:val="Compact"/>
      </w:pPr>
      <w:r>
        <w:rPr>
          <w:bCs/>
          <w:b/>
        </w:rPr>
        <w:t xml:space="preserve">Citywide Climate Resilience Programs</w:t>
      </w:r>
      <w:r>
        <w:t xml:space="preserve">: NYC's $1 billion investment in climate-adaptive infrastructure will drive demand for specialized architectural services.</w:t>
      </w:r>
    </w:p>
    <w:p>
      <w:pPr>
        <w:numPr>
          <w:ilvl w:val="0"/>
          <w:numId w:val="1004"/>
        </w:numPr>
        <w:pStyle w:val="Compact"/>
      </w:pPr>
      <w:r>
        <w:rPr>
          <w:bCs/>
          <w:b/>
        </w:rPr>
        <w:t xml:space="preserve">Small-Scale Luxury Market</w:t>
      </w:r>
      <w:r>
        <w:t xml:space="preserve">: Rising affluent tenant demand for custom residential spaces presents untapped opportunity in neighborhoods like Harlem and Astoria.</w:t>
      </w:r>
    </w:p>
    <w:p>
      <w:pPr>
        <w:numPr>
          <w:ilvl w:val="0"/>
          <w:numId w:val="1004"/>
        </w:numPr>
        <w:pStyle w:val="Compact"/>
      </w:pPr>
      <w:r>
        <w:rPr>
          <w:bCs/>
          <w:b/>
        </w:rPr>
        <w:t xml:space="preserve">Public-Private Partnerships</w:t>
      </w:r>
      <w:r>
        <w:t xml:space="preserve">: Ongoing NYC infrastructure projects (e.g., Second Avenue Subway expansions) require architectural firms with public procurement experience.</w:t>
      </w:r>
    </w:p>
    <w:p>
      <w:pPr>
        <w:pStyle w:val="FirstParagraph"/>
      </w:pPr>
      <w:r>
        <w:t xml:space="preserve">We recommend allocating 25% of Q4 sales resources to developing a specialized "NYC Resilience Design Package" targeting municipal and large institutional clients. This targeted approach directly addresses emerging city priorities while leveraging our Architect team's unique local expertise.</w:t>
      </w:r>
    </w:p>
    <w:bookmarkEnd w:id="29"/>
    <w:bookmarkStart w:id="30" w:name="conclusion"/>
    <w:p>
      <w:pPr>
        <w:pStyle w:val="Heading2"/>
      </w:pPr>
      <w:r>
        <w:t xml:space="preserve">Conclusion</w:t>
      </w:r>
    </w:p>
    <w:p>
      <w:pPr>
        <w:pStyle w:val="FirstParagraph"/>
      </w:pPr>
      <w:r>
        <w:t xml:space="preserve">Our Q3 Sales Report confirms that in the demanding market of United States New York City, architectural excellence combined with hyper-local strategic insight delivers exceptional business outcomes. The Architect team's ability to translate NYC's complex regulatory environment into compelling value propositions has driven measurable revenue growth while strengthening our reputation as the city's most reliable design partner. As we move toward 2024, our focus remains on deepening relationships with key stakeholders across Manhattan, Brooklyn, and Queens—ensuring that every project reflects not just architectural innovation, but a profound understanding of what makes New York City uniquely demanding and rewarding for architectural practice.</w:t>
      </w:r>
    </w:p>
    <w:p>
      <w:pPr>
        <w:pStyle w:val="BodyText"/>
      </w:pPr>
      <w:r>
        <w:t xml:space="preserve">This Sales Report represents the strategic performance of [Your Architectural Firm Name] in United States New York City. All data reflects proprietary firm metrics as of September 30, 2023.</w:t>
      </w:r>
    </w:p>
    <w:p>
      <w:pPr>
        <w:pStyle w:val="BodyText"/>
      </w:pPr>
      <w:r>
        <w:t xml:space="preserve">© [Year] [Your Architectural Firm Name]. All Rights Reserved. This document is for internal use only.</w:t>
      </w:r>
    </w:p>
    <w:p>
      <w:pPr>
        <w:pStyle w:val="BodyText"/>
      </w:pPr>
      <w:r>
        <w:t xml:space="preserve">Prepared by the Sales &amp; Business Development Department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Report: United States New York City</dc:title>
  <dc:creator/>
  <dc:language>en</dc:language>
  <cp:keywords/>
  <dcterms:created xsi:type="dcterms:W3CDTF">2026-07-24T10:21:52Z</dcterms:created>
  <dcterms:modified xsi:type="dcterms:W3CDTF">2026-07-24T10:21:52Z</dcterms:modified>
</cp:coreProperties>
</file>

<file path=docProps/custom.xml><?xml version="1.0" encoding="utf-8"?>
<Properties xmlns="http://schemas.openxmlformats.org/officeDocument/2006/custom-properties" xmlns:vt="http://schemas.openxmlformats.org/officeDocument/2006/docPropsVTypes"/>
</file>