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San</w:t>
      </w:r>
      <w:r>
        <w:t xml:space="preserve"> </w:t>
      </w:r>
      <w:r>
        <w:t xml:space="preserve">Francisco</w:t>
      </w:r>
      <w:r>
        <w:t xml:space="preserve"> </w:t>
      </w:r>
      <w:r>
        <w:t xml:space="preserve">Architectural</w:t>
      </w:r>
      <w:r>
        <w:t xml:space="preserve"> </w:t>
      </w:r>
      <w:r>
        <w:t xml:space="preserve">Excellence</w:t>
      </w:r>
    </w:p>
    <w:bookmarkStart w:id="20" w:name="Xbc519a86e3dd16867b5223695848acf93c0ab7c"/>
    <w:p>
      <w:pPr>
        <w:pStyle w:val="Heading1"/>
      </w:pPr>
      <w:r>
        <w:t xml:space="preserve">ANNUAL SALES REPORT</w:t>
      </w:r>
      <w:r>
        <w:br/>
      </w:r>
      <w:r>
        <w:t xml:space="preserve">ARCHITECTURAL FIRM PERFORMANCE</w:t>
      </w:r>
      <w:r>
        <w:br/>
      </w:r>
      <w:r>
        <w:t xml:space="preserve">SAN FRANCISCO, UNITED STATES</w:t>
      </w:r>
    </w:p>
    <w:p>
      <w:pPr>
        <w:pStyle w:val="FirstParagraph"/>
      </w:pPr>
      <w:r>
        <w:rPr>
          <w:bCs/>
          <w:b/>
        </w:rPr>
        <w:t xml:space="preserve">Reporting Period:</w:t>
      </w:r>
      <w:r>
        <w:t xml:space="preserve"> </w:t>
      </w:r>
      <w:r>
        <w:t xml:space="preserve">January 1, 2023 – December 31, 2023</w:t>
      </w:r>
    </w:p>
    <w:p>
      <w:pPr>
        <w:pStyle w:val="BodyText"/>
      </w:pPr>
      <w:r>
        <w:rPr>
          <w:bCs/>
          <w:b/>
        </w:rPr>
        <w:t xml:space="preserve">Prepared For:</w:t>
      </w:r>
      <w:r>
        <w:t xml:space="preserve"> </w:t>
      </w:r>
      <w:r>
        <w:t xml:space="preserve">Executive Leadership &amp; Board of Directors</w:t>
      </w:r>
    </w:p>
    <w:p>
      <w:pPr>
        <w:pStyle w:val="BodyText"/>
      </w:pPr>
      <w:r>
        <w:rPr>
          <w:bCs/>
          <w:b/>
        </w:rPr>
        <w:t xml:space="preserve">Date:</w:t>
      </w:r>
      <w:r>
        <w:t xml:space="preserve"> </w:t>
      </w:r>
      <w:r>
        <w:t xml:space="preserve">February 15, 2024</w:t>
      </w:r>
    </w:p>
    <w:bookmarkEnd w:id="20"/>
    <w:bookmarkStart w:id="21" w:name="executive-summary"/>
    <w:p>
      <w:pPr>
        <w:pStyle w:val="Heading2"/>
      </w:pPr>
      <w:r>
        <w:t xml:space="preserve">Executive Summary</w:t>
      </w:r>
    </w:p>
    <w:p>
      <w:pPr>
        <w:pStyle w:val="FirstParagraph"/>
      </w:pPr>
      <w:r>
        <w:t xml:space="preserve">This comprehensive Sales Report details the performance of our architectural practice across the United States San Francisco market during calendar year 2023. As a leading design firm specializing in sustainable urban architecture, we've navigated a dynamic economic landscape while reinforcing our position as innovators in San Francisco's competitive design ecosystem. The report demonstrates robust growth in project acquisitions, strategic client partnerships, and significant contributions to the city's architectural evolution – all while maintaining rigorous standards demanded by the United States San Francisco planning authorities.</w:t>
      </w:r>
    </w:p>
    <w:p>
      <w:pPr>
        <w:pStyle w:val="BodyText"/>
      </w:pPr>
      <w:r>
        <w:t xml:space="preserve">Key achievements include a 28% year-over-year increase in signed contracts, expansion into new market segments (including adaptive reuse of historic structures), and recognition as one of "San Francisco's Top 10 Architectural Firms" by Urban Design Magazine. This performance directly aligns with our mission to deliver transformative built environments that honor San Francisco's unique cultural identity while addressing modern sustainability challenges.</w:t>
      </w:r>
    </w:p>
    <w:bookmarkEnd w:id="21"/>
    <w:bookmarkStart w:id="22" w:name="Xc52ac0f0523c94dfe95948ea9baeebedbf34f4b"/>
    <w:p>
      <w:pPr>
        <w:pStyle w:val="Heading2"/>
      </w:pPr>
      <w:r>
        <w:t xml:space="preserve">Market Context: United States San Francisco Architectural Landscape</w:t>
      </w:r>
    </w:p>
    <w:p>
      <w:pPr>
        <w:pStyle w:val="FirstParagraph"/>
      </w:pPr>
      <w:r>
        <w:t xml:space="preserve">The United States San Francisco architectural market has experienced unprecedented growth, driven by post-pandemic urban revitalization, stringent climate action policies (including the 2030 Carbon Neutrality Mandate), and a surge in high-net-worth residential development. With San Francisco consistently ranking among America's most architecturally significant cities – boasting over 45 UNESCO-recognized structures and an annual construction volume exceeding $12 billion – our firm has strategically positioned itself at the forefront of this evolution.</w:t>
      </w:r>
    </w:p>
    <w:p>
      <w:pPr>
        <w:pStyle w:val="BodyText"/>
      </w:pPr>
      <w:r>
        <w:t xml:space="preserve">Key market drivers include: 1) The Municipal Building Code Modernization Initiative (effective Q3 2023), which accelerated demand for energy-efficient designs; 2) A 37% increase in tech-sector headquarters expansion projects within the downtown core; and 3) Growing community advocacy for culturally sensitive urban development – a niche where our firm excels. This contextual understanding directly informs our sales strategy, allowing us to present tailored solutions that resonate with San Francisco's specific regulatory and aesthetic priorities.</w:t>
      </w:r>
    </w:p>
    <w:bookmarkEnd w:id="22"/>
    <w:bookmarkStart w:id="23" w:name="sales-performance-dashboard"/>
    <w:p>
      <w:pPr>
        <w:pStyle w:val="Heading2"/>
      </w:pPr>
      <w:r>
        <w:t xml:space="preserve">Sales Performance Dashboard</w:t>
      </w:r>
    </w:p>
    <w:p>
      <w:pPr>
        <w:pStyle w:val="FirstParagraph"/>
      </w:pPr>
      <w:r>
        <w:t xml:space="preserve">Our 2023 Sales Report reveals exceptional performance metrics across all key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2023 Actual</w:t>
            </w:r>
          </w:p>
        </w:tc>
        <w:tc>
          <w:tcPr/>
          <w:p>
            <w:pPr>
              <w:pStyle w:val="Compact"/>
              <w:jc w:val="left"/>
            </w:pPr>
            <w:r>
              <w:t xml:space="preserve">2022 Actual</w:t>
            </w:r>
          </w:p>
        </w:tc>
        <w:tc>
          <w:tcPr/>
          <w:p>
            <w:pPr>
              <w:pStyle w:val="Compact"/>
              <w:jc w:val="left"/>
            </w:pPr>
            <w:r>
              <w:t xml:space="preserve">Y/Y Change</w:t>
            </w:r>
          </w:p>
        </w:tc>
      </w:tr>
      <w:tr>
        <w:tc>
          <w:tcPr/>
          <w:p>
            <w:pPr>
              <w:pStyle w:val="Compact"/>
              <w:jc w:val="left"/>
            </w:pPr>
            <w:r>
              <w:t xml:space="preserve">Total Contract Value (USD)</w:t>
            </w:r>
          </w:p>
        </w:tc>
        <w:tc>
          <w:tcPr/>
          <w:p>
            <w:pPr>
              <w:pStyle w:val="Compact"/>
              <w:jc w:val="left"/>
            </w:pPr>
            <w:r>
              <w:t xml:space="preserve">$14.7M</w:t>
            </w:r>
          </w:p>
        </w:tc>
        <w:tc>
          <w:tcPr/>
          <w:p>
            <w:pPr>
              <w:pStyle w:val="Compact"/>
              <w:jc w:val="left"/>
            </w:pPr>
            <w:r>
              <w:t xml:space="preserve">$11.5M</w:t>
            </w:r>
          </w:p>
        </w:tc>
        <w:tc>
          <w:tcPr/>
          <w:p>
            <w:pPr>
              <w:pStyle w:val="Compact"/>
              <w:jc w:val="left"/>
            </w:pPr>
            <w:r>
              <w:t xml:space="preserve">+28%</w:t>
            </w:r>
          </w:p>
        </w:tc>
      </w:tr>
      <w:tr>
        <w:tc>
          <w:tcPr/>
          <w:p>
            <w:pPr>
              <w:pStyle w:val="Compact"/>
              <w:jc w:val="left"/>
            </w:pPr>
            <w:r>
              <w:t xml:space="preserve">Active Projects at Year-End</w:t>
            </w:r>
          </w:p>
        </w:tc>
        <w:tc>
          <w:tcPr/>
          <w:p>
            <w:pPr>
              <w:pStyle w:val="Compact"/>
              <w:jc w:val="left"/>
            </w:pPr>
            <w:r>
              <w:t xml:space="preserve">32</w:t>
            </w:r>
          </w:p>
        </w:tc>
        <w:tc>
          <w:tcPr/>
          <w:p>
            <w:pPr>
              <w:pStyle w:val="Compact"/>
              <w:jc w:val="left"/>
            </w:pPr>
            <w:r>
              <w:t xml:space="preserve">24</w:t>
            </w:r>
          </w:p>
        </w:tc>
        <w:tc>
          <w:tcPr/>
          <w:p>
            <w:pPr>
              <w:pStyle w:val="Compact"/>
              <w:jc w:val="left"/>
            </w:pPr>
            <w:r>
              <w:t xml:space="preserve">+33%</w:t>
            </w:r>
          </w:p>
        </w:tc>
      </w:tr>
      <w:tr>
        <w:tc>
          <w:tcPr/>
          <w:p>
            <w:pPr>
              <w:pStyle w:val="Compact"/>
              <w:jc w:val="left"/>
            </w:pPr>
            <w:r>
              <w:t xml:space="preserve">New Client Acquisitions</w:t>
            </w:r>
          </w:p>
        </w:tc>
        <w:tc>
          <w:tcPr/>
          <w:p>
            <w:pPr>
              <w:pStyle w:val="Compact"/>
              <w:jc w:val="left"/>
            </w:pPr>
            <w:r>
              <w:t xml:space="preserve">19</w:t>
            </w:r>
          </w:p>
        </w:tc>
        <w:tc>
          <w:tcPr/>
          <w:p>
            <w:pPr>
              <w:pStyle w:val="Compact"/>
              <w:jc w:val="left"/>
            </w:pPr>
            <w:r>
              <w:t xml:space="preserve">14</w:t>
            </w:r>
          </w:p>
        </w:tc>
        <w:tc>
          <w:tcPr/>
          <w:p>
            <w:pPr>
              <w:pStyle w:val="Compact"/>
              <w:jc w:val="left"/>
            </w:pPr>
            <w:r>
              <w:t xml:space="preserve">+36%</w:t>
            </w:r>
          </w:p>
        </w:tc>
      </w:tr>
      <w:tr>
        <w:tc>
          <w:tcPr/>
          <w:p>
            <w:pPr>
              <w:pStyle w:val="Compact"/>
              <w:jc w:val="left"/>
            </w:pPr>
            <w:r>
              <w:t xml:space="preserve">Residential Project Share (San Francisco)</w:t>
            </w:r>
          </w:p>
        </w:tc>
        <w:tc>
          <w:tcPr/>
          <w:p>
            <w:pPr>
              <w:pStyle w:val="Compact"/>
              <w:jc w:val="left"/>
            </w:pPr>
            <w:r>
              <w:t xml:space="preserve">47%</w:t>
            </w:r>
          </w:p>
        </w:tc>
        <w:tc>
          <w:tcPr/>
          <w:p>
            <w:pPr>
              <w:pStyle w:val="Compact"/>
              <w:jc w:val="left"/>
            </w:pPr>
            <w:r>
              <w:t xml:space="preserve">38%</w:t>
            </w:r>
          </w:p>
        </w:tc>
        <w:tc>
          <w:tcPr/>
          <w:p>
            <w:pPr>
              <w:pStyle w:val="Compact"/>
              <w:jc w:val="left"/>
            </w:pPr>
            <w:r>
              <w:t xml:space="preserve">+9 pts</w:t>
            </w:r>
          </w:p>
        </w:tc>
      </w:tr>
    </w:tbl>
    <w:bookmarkEnd w:id="23"/>
    <w:bookmarkStart w:id="27" w:name="X3a637dcadcdf6dae6e0b2d6c899caf223ea66f2"/>
    <w:p>
      <w:pPr>
        <w:pStyle w:val="Heading2"/>
      </w:pPr>
      <w:r>
        <w:t xml:space="preserve">Pivotal 2023 Projects Driving Sales Growth</w:t>
      </w:r>
    </w:p>
    <w:p>
      <w:pPr>
        <w:pStyle w:val="FirstParagraph"/>
      </w:pPr>
      <w:r>
        <w:t xml:space="preserve">The following United States San Francisco projects exemplify our sales strategy in action, demonstrating how we translate market insights into high-value architectural engagements:</w:t>
      </w:r>
    </w:p>
    <w:bookmarkStart w:id="24" w:name="X4816265158a95da293fff100bec7cb00d016b8b"/>
    <w:p>
      <w:pPr>
        <w:pStyle w:val="Heading3"/>
      </w:pPr>
      <w:r>
        <w:t xml:space="preserve">1. The Beacon Hill Adaptive Reuse Project (Client: City of San Francisco)</w:t>
      </w:r>
    </w:p>
    <w:p>
      <w:pPr>
        <w:pStyle w:val="FirstParagraph"/>
      </w:pPr>
      <w:r>
        <w:t xml:space="preserve">Secured as a $2.8M municipal contract to transform a 1920s industrial warehouse into affordable artist housing, meeting all SF Design Review Board requirements. This project directly addressed the city's "Housing for Artists" initiative and generated significant referral business from the Office of Community Development.</w:t>
      </w:r>
    </w:p>
    <w:bookmarkEnd w:id="24"/>
    <w:bookmarkStart w:id="25" w:name="pacific-heights-luxury-condominium-tower"/>
    <w:p>
      <w:pPr>
        <w:pStyle w:val="Heading3"/>
      </w:pPr>
      <w:r>
        <w:t xml:space="preserve">2. Pacific Heights Luxury Condominium Tower</w:t>
      </w:r>
    </w:p>
    <w:p>
      <w:pPr>
        <w:pStyle w:val="FirstParagraph"/>
      </w:pPr>
      <w:r>
        <w:t xml:space="preserve">A $5.2M private commission representing a 140% increase in premium residential projects since 2021. Our innovative use of cross-laminated timber (CLT) met SF's new carbon-neutral construction standards, securing the project as a case study for the city's Sustainable Building Council.</w:t>
      </w:r>
    </w:p>
    <w:bookmarkEnd w:id="25"/>
    <w:bookmarkStart w:id="26" w:name="Xbaa95fa467d7b25ba4dc8fd0832937a38a7ba25"/>
    <w:p>
      <w:pPr>
        <w:pStyle w:val="Heading3"/>
      </w:pPr>
      <w:r>
        <w:t xml:space="preserve">3. Mission District Cultural Center Partnership</w:t>
      </w:r>
    </w:p>
    <w:p>
      <w:pPr>
        <w:pStyle w:val="FirstParagraph"/>
      </w:pPr>
      <w:r>
        <w:t xml:space="preserve">Collaborated with local non-profit "Latino Heritage Arts" on a $1.9M community space project – our first major contract with an underserved San Francisco neighborhood. This socially conscious project expanded our client base while earning the firm the 2023 Bay Area Community Impact Award.</w:t>
      </w:r>
    </w:p>
    <w:bookmarkEnd w:id="26"/>
    <w:bookmarkEnd w:id="27"/>
    <w:bookmarkStart w:id="28" w:name="X6a807b7e53de96418810419968527f259a675b3"/>
    <w:p>
      <w:pPr>
        <w:pStyle w:val="Heading2"/>
      </w:pPr>
      <w:r>
        <w:t xml:space="preserve">Strategic Sales Insights: Why San Francisco Works</w:t>
      </w:r>
    </w:p>
    <w:p>
      <w:pPr>
        <w:pStyle w:val="FirstParagraph"/>
      </w:pPr>
      <w:r>
        <w:t xml:space="preserve">Our sales success in United States San Francisco stems from three key differentiators:</w:t>
      </w:r>
    </w:p>
    <w:p>
      <w:pPr>
        <w:numPr>
          <w:ilvl w:val="0"/>
          <w:numId w:val="1001"/>
        </w:numPr>
        <w:pStyle w:val="Compact"/>
      </w:pPr>
      <w:r>
        <w:rPr>
          <w:bCs/>
          <w:b/>
        </w:rPr>
        <w:t xml:space="preserve">Regulatory Expertise:</w:t>
      </w:r>
      <w:r>
        <w:t xml:space="preserve"> </w:t>
      </w:r>
      <w:r>
        <w:t xml:space="preserve">Deep understanding of the SF Planning Department's nuanced approval process, reducing project timeline risks by an average of 42% compared to market competitors</w:t>
      </w:r>
    </w:p>
    <w:p>
      <w:pPr>
        <w:numPr>
          <w:ilvl w:val="0"/>
          <w:numId w:val="1001"/>
        </w:numPr>
        <w:pStyle w:val="Compact"/>
      </w:pPr>
      <w:r>
        <w:rPr>
          <w:bCs/>
          <w:b/>
        </w:rPr>
        <w:t xml:space="preserve">Cultural Intelligence:</w:t>
      </w:r>
      <w:r>
        <w:t xml:space="preserve"> </w:t>
      </w:r>
      <w:r>
        <w:t xml:space="preserve">Specialized knowledge in San Francisco's diverse architectural heritage – from Victorian rowhouses to modernist high-rises – enabling us to create contextually resonant designs that pass Design Review with minimal revisions</w:t>
      </w:r>
    </w:p>
    <w:p>
      <w:pPr>
        <w:numPr>
          <w:ilvl w:val="0"/>
          <w:numId w:val="1001"/>
        </w:numPr>
        <w:pStyle w:val="Compact"/>
      </w:pPr>
      <w:r>
        <w:rPr>
          <w:bCs/>
          <w:b/>
        </w:rPr>
        <w:t xml:space="preserve">Sustainability Integration:</w:t>
      </w:r>
      <w:r>
        <w:t xml:space="preserve"> </w:t>
      </w:r>
      <w:r>
        <w:t xml:space="preserve">Proactive implementation of the SF Green Building Standards (Section 102.7), which has become a non-negotiable requirement for all major projects in the city</w:t>
      </w:r>
    </w:p>
    <w:bookmarkEnd w:id="28"/>
    <w:bookmarkStart w:id="29" w:name="challenges-strategic-opportunities"/>
    <w:p>
      <w:pPr>
        <w:pStyle w:val="Heading2"/>
      </w:pPr>
      <w:r>
        <w:t xml:space="preserve">Challenges &amp; Strategic Opportunities</w:t>
      </w:r>
    </w:p>
    <w:p>
      <w:pPr>
        <w:pStyle w:val="FirstParagraph"/>
      </w:pPr>
      <w:r>
        <w:t xml:space="preserve">Despite strong performance, we identified critical market challenges requiring immediate sales strategy adjustments:</w:t>
      </w:r>
    </w:p>
    <w:p>
      <w:pPr>
        <w:numPr>
          <w:ilvl w:val="0"/>
          <w:numId w:val="1002"/>
        </w:numPr>
        <w:pStyle w:val="Compact"/>
      </w:pPr>
      <w:r>
        <w:rPr>
          <w:bCs/>
          <w:b/>
        </w:rPr>
        <w:t xml:space="preserve">Rising Material Costs:</w:t>
      </w:r>
      <w:r>
        <w:t xml:space="preserve"> </w:t>
      </w:r>
      <w:r>
        <w:t xml:space="preserve">Steel and lumber price volatility increased project costs by 18%. Our solution: Developed a "Cost-Plus Sustainable Design" package that maintains profit margins while meeting client sustainability goals</w:t>
      </w:r>
    </w:p>
    <w:p>
      <w:pPr>
        <w:numPr>
          <w:ilvl w:val="0"/>
          <w:numId w:val="1002"/>
        </w:numPr>
        <w:pStyle w:val="Compact"/>
      </w:pPr>
      <w:r>
        <w:rPr>
          <w:bCs/>
          <w:b/>
        </w:rPr>
        <w:t xml:space="preserve">Competitive Landscape:</w:t>
      </w:r>
      <w:r>
        <w:t xml:space="preserve"> </w:t>
      </w:r>
      <w:r>
        <w:t xml:space="preserve">New architectural firms entering the market targeting San Francisco's luxury sector. Countermeasure: Launched our "San Francisco Legacy Portfolio" showcasing 10+ years of locally approved projects with verifiable community impact</w:t>
      </w:r>
    </w:p>
    <w:p>
      <w:pPr>
        <w:numPr>
          <w:ilvl w:val="0"/>
          <w:numId w:val="1002"/>
        </w:numPr>
        <w:pStyle w:val="Compact"/>
      </w:pPr>
      <w:r>
        <w:rPr>
          <w:bCs/>
          <w:b/>
        </w:rPr>
        <w:t xml:space="preserve">Client Education Gap:</w:t>
      </w:r>
      <w:r>
        <w:t xml:space="preserve"> </w:t>
      </w:r>
      <w:r>
        <w:t xml:space="preserve">Many prospective clients misunderstand SF's complex zoning codes. Strategic response: Created a free "SF Design Navigator" digital toolkit available to all leads, reducing onboarding time by 30%</w:t>
      </w:r>
    </w:p>
    <w:bookmarkEnd w:id="29"/>
    <w:bookmarkStart w:id="30" w:name="forward-looking-recommendations"/>
    <w:p>
      <w:pPr>
        <w:pStyle w:val="Heading2"/>
      </w:pPr>
      <w:r>
        <w:t xml:space="preserve">Forward-Looking Recommendations</w:t>
      </w:r>
    </w:p>
    <w:p>
      <w:pPr>
        <w:pStyle w:val="FirstParagraph"/>
      </w:pPr>
      <w:r>
        <w:t xml:space="preserve">To maintain leadership in the United States San Francisco architectural market, we propose these sales-focused initiatives for 2024:</w:t>
      </w:r>
    </w:p>
    <w:p>
      <w:pPr>
        <w:numPr>
          <w:ilvl w:val="0"/>
          <w:numId w:val="1003"/>
        </w:numPr>
        <w:pStyle w:val="Compact"/>
      </w:pPr>
      <w:r>
        <w:t xml:space="preserve">Expand the "Community First" project pipeline by allocating 30% of new business development to non-profit and municipal clients – directly aligning with San Francisco's equity-focused city planning goals</w:t>
      </w:r>
    </w:p>
    <w:p>
      <w:pPr>
        <w:numPr>
          <w:ilvl w:val="0"/>
          <w:numId w:val="1003"/>
        </w:numPr>
        <w:pStyle w:val="Compact"/>
      </w:pPr>
      <w:r>
        <w:t xml:space="preserve">Develop a specialized "Historic Preservation Architect" service line targeting SF's over 1,200 designated landmark buildings, an underserved market segment with 65% annual growth potential</w:t>
      </w:r>
    </w:p>
    <w:p>
      <w:pPr>
        <w:numPr>
          <w:ilvl w:val="0"/>
          <w:numId w:val="1003"/>
        </w:numPr>
        <w:pStyle w:val="Compact"/>
      </w:pPr>
      <w:r>
        <w:t xml:space="preserve">Establish strategic partnerships with major San Francisco-based real estate developers (e.g., Related Companies, Hines) to secure pre-development design contracts for upcoming projects</w:t>
      </w:r>
    </w:p>
    <w:p>
      <w:pPr>
        <w:numPr>
          <w:ilvl w:val="0"/>
          <w:numId w:val="1003"/>
        </w:numPr>
        <w:pStyle w:val="Compact"/>
      </w:pPr>
      <w:r>
        <w:t xml:space="preserve">Launch "Sustainable Design Certification" workshops for clients, positioning our firm as the market authority on SF's evolving environmental regulations</w:t>
      </w:r>
    </w:p>
    <w:bookmarkEnd w:id="30"/>
    <w:bookmarkStart w:id="31" w:name="X80866e9c29f85a45552ece396a05dd29d9b6504"/>
    <w:p>
      <w:pPr>
        <w:pStyle w:val="Heading2"/>
      </w:pPr>
      <w:r>
        <w:t xml:space="preserve">Conclusion: Architectural Excellence Drives Sales Success in United States San Francisco</w:t>
      </w:r>
    </w:p>
    <w:p>
      <w:pPr>
        <w:pStyle w:val="FirstParagraph"/>
      </w:pPr>
      <w:r>
        <w:t xml:space="preserve">The 2023 Sales Report confirms that strategic alignment with United States San Francisco's unique architectural identity, regulatory landscape, and community priorities is the definitive driver of growth for our firm. As the city continues its transformation through sustainable urbanism and inclusive design – values we embody in every project – our sales performance has consistently outpaced both market averages and industry benchmarks. Our 28% revenue growth demonstrates that when an Architect deeply understands the local context, delivers exceptional design within regulatory frameworks, and builds meaningful community partnerships, commercial success becomes inevitable. We enter 2024 with renewed confidence that our focused approach to serving San Francisco's architectural needs will continue to generate exceptional returns for stakeholders while shaping the city's built environment for generations to come.</w:t>
      </w:r>
    </w:p>
    <w:bookmarkEnd w:id="31"/>
    <w:p>
      <w:pPr>
        <w:pStyle w:val="BodyText"/>
      </w:pPr>
      <w:r>
        <w:t xml:space="preserve">Prepared by the Sales &amp; Business Development Department | San Francisco Architectural Designs Inc. | Est. 1995</w:t>
      </w:r>
    </w:p>
    <w:p>
      <w:pPr>
        <w:pStyle w:val="BodyText"/>
      </w:pPr>
      <w:r>
        <w:t xml:space="preserve">This report meets all California State Architectural Board requirements for professional sales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San Francisco Architectural Excellence</dc:title>
  <dc:creator/>
  <dc:language>en</dc:language>
  <cp:keywords/>
  <dcterms:created xsi:type="dcterms:W3CDTF">2026-07-21T06:09:54Z</dcterms:created>
  <dcterms:modified xsi:type="dcterms:W3CDTF">2026-07-21T06:09:54Z</dcterms:modified>
</cp:coreProperties>
</file>

<file path=docProps/custom.xml><?xml version="1.0" encoding="utf-8"?>
<Properties xmlns="http://schemas.openxmlformats.org/officeDocument/2006/custom-properties" xmlns:vt="http://schemas.openxmlformats.org/officeDocument/2006/docPropsVTypes"/>
</file>