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7" w:name="X614d3e09e41db9a8e221f6bfa80cf164678fb37"/>
    <w:p>
      <w:pPr>
        <w:pStyle w:val="Heading1"/>
      </w:pPr>
      <w:r>
        <w:t xml:space="preserve">Sales Report for Architectural Services in Tashkent, Uzbekistan</w:t>
      </w:r>
    </w:p>
    <w:p>
      <w:pPr>
        <w:pStyle w:val="FirstParagraph"/>
      </w:pPr>
      <w:r>
        <w:t xml:space="preserve">Date: October 26, 2023</w:t>
      </w:r>
      <w:r>
        <w:br/>
      </w:r>
      <w:r>
        <w:t xml:space="preserve">Prepared For: Management Team</w:t>
      </w:r>
      <w:r>
        <w:br/>
      </w:r>
      <w:r>
        <w:t xml:space="preserve">Region: Uzbekistan Tashkent</w:t>
      </w:r>
    </w:p>
    <w:bookmarkStart w:id="20" w:name="executive-summary"/>
    <w:p>
      <w:pPr>
        <w:pStyle w:val="Heading2"/>
      </w:pPr>
      <w:r>
        <w:t xml:space="preserve">Executive Summary</w:t>
      </w:r>
    </w:p>
    <w:p>
      <w:pPr>
        <w:pStyle w:val="FirstParagraph"/>
      </w:pPr>
      <w:r>
        <w:t xml:space="preserve">This comprehensive Sales Report details the performance of our architectural services in the dynamic market of Tashkent, Uzbekistan. As a leading design firm specializing in contemporary architecture for Central Asia, we've witnessed significant growth in demand for innovative architectural solutions across commercial, residential, and public sectors. The report analyzes current sales trends (Q3 2023), identifies key market opportunities specific to Uzbekistan's urban development priorities, and outlines strategic recommendations for our Architect team to capitalize on Tashkent's booming construction landscape. Our sales performance demonstrates a 24% year-over-year increase, directly contributing to the firm's expansion in Uzbekistan Tashkent.</w:t>
      </w:r>
    </w:p>
    <w:bookmarkEnd w:id="20"/>
    <w:bookmarkStart w:id="21" w:name="X509c4750efaf7fced0ab02158009bdfe72d5097"/>
    <w:p>
      <w:pPr>
        <w:pStyle w:val="Heading2"/>
      </w:pPr>
      <w:r>
        <w:t xml:space="preserve">Market Context: Architectural Demand in Tashkent</w:t>
      </w:r>
    </w:p>
    <w:p>
      <w:pPr>
        <w:pStyle w:val="FirstParagraph"/>
      </w:pPr>
      <w:r>
        <w:t xml:space="preserve">Uzbekistan's capital city, Tashkent, is undergoing unprecedented urban transformation under the government's "New Uzbekistan" development strategy. The city has become a focal point for architectural innovation with over 15 major infrastructure projects underway, including the Tashkent Metro expansion, smart city initiatives in Amir Temur Street district, and luxury mixed-use developments near Chilanzar Lake. This environment creates exceptional opportunities for our Architect firm to deliver cutting-edge designs aligned with Uzbekistan's cultural heritage and modernization goals.</w:t>
      </w:r>
    </w:p>
    <w:p>
      <w:pPr>
        <w:pStyle w:val="BodyText"/>
      </w:pPr>
      <w:r>
        <w:t xml:space="preserve">Our recent market analysis confirms that 78% of Tashkent-based developers now prioritize sustainable architectural practices and culturally responsive design—directly matching our core service offerings. The government's push for "green building" certifications (UzGreenMark) has further amplified demand, positioning us uniquely as the preferred Architect partner for projects seeking international standards with local contextual understanding.</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Number of Projects</w:t>
            </w:r>
          </w:p>
        </w:tc>
        <w:tc>
          <w:tcPr/>
          <w:p>
            <w:pPr>
              <w:pStyle w:val="Compact"/>
              <w:jc w:val="left"/>
            </w:pPr>
            <w:r>
              <w:t xml:space="preserve">Revenue (USD)</w:t>
            </w:r>
          </w:p>
        </w:tc>
        <w:tc>
          <w:tcPr/>
          <w:p>
            <w:pPr>
              <w:pStyle w:val="Compact"/>
              <w:jc w:val="left"/>
            </w:pPr>
            <w:r>
              <w:t xml:space="preserve">YoY Growth</w:t>
            </w:r>
          </w:p>
        </w:tc>
      </w:tr>
      <w:tr>
        <w:tc>
          <w:tcPr/>
          <w:p>
            <w:pPr>
              <w:pStyle w:val="Compact"/>
              <w:jc w:val="left"/>
            </w:pPr>
            <w:r>
              <w:t xml:space="preserve">Luxury Residential (Tashkent Hills)</w:t>
            </w:r>
          </w:p>
        </w:tc>
        <w:tc>
          <w:tcPr/>
          <w:p>
            <w:pPr>
              <w:pStyle w:val="Compact"/>
              <w:jc w:val="left"/>
            </w:pPr>
            <w:r>
              <w:t xml:space="preserve">12</w:t>
            </w:r>
          </w:p>
        </w:tc>
        <w:tc>
          <w:tcPr/>
          <w:p>
            <w:pPr>
              <w:pStyle w:val="Compact"/>
              <w:jc w:val="left"/>
            </w:pPr>
            <w:r>
              <w:t xml:space="preserve">$1.45M</w:t>
            </w:r>
          </w:p>
        </w:tc>
        <w:tc>
          <w:tcPr/>
          <w:p>
            <w:pPr>
              <w:pStyle w:val="Compact"/>
              <w:jc w:val="left"/>
            </w:pPr>
            <w:r>
              <w:t xml:space="preserve">+32%</w:t>
            </w:r>
          </w:p>
        </w:tc>
      </w:tr>
      <w:tr>
        <w:tc>
          <w:tcPr/>
          <w:p>
            <w:pPr>
              <w:pStyle w:val="Compact"/>
              <w:jc w:val="left"/>
            </w:pPr>
            <w:r>
              <w:t xml:space="preserve">Commercial Complexes (Mirzo Ulug'bek District)</w:t>
            </w:r>
          </w:p>
        </w:tc>
        <w:tc>
          <w:tcPr/>
          <w:p>
            <w:pPr>
              <w:pStyle w:val="Compact"/>
              <w:jc w:val="left"/>
            </w:pPr>
            <w:r>
              <w:t xml:space="preserve">7</w:t>
            </w:r>
          </w:p>
        </w:tc>
        <w:tc>
          <w:tcPr/>
          <w:p>
            <w:pPr>
              <w:pStyle w:val="Compact"/>
              <w:jc w:val="left"/>
            </w:pPr>
            <w:r>
              <w:t xml:space="preserve">$920K</w:t>
            </w:r>
          </w:p>
        </w:tc>
        <w:tc>
          <w:tcPr/>
          <w:p>
            <w:pPr>
              <w:pStyle w:val="Compact"/>
              <w:jc w:val="left"/>
            </w:pPr>
            <w:r>
              <w:t xml:space="preserve">+19%</w:t>
            </w:r>
          </w:p>
        </w:tc>
      </w:tr>
      <w:tr>
        <w:tc>
          <w:tcPr/>
          <w:p>
            <w:pPr>
              <w:pStyle w:val="Compact"/>
              <w:jc w:val="left"/>
            </w:pPr>
            <w:r>
              <w:t xml:space="preserve">Public Infrastructure (Tashkent City Center)</w:t>
            </w:r>
          </w:p>
        </w:tc>
        <w:tc>
          <w:tcPr/>
          <w:p>
            <w:pPr>
              <w:pStyle w:val="Compact"/>
              <w:jc w:val="left"/>
            </w:pPr>
            <w:r>
              <w:t xml:space="preserve">5</w:t>
            </w:r>
          </w:p>
        </w:tc>
        <w:tc>
          <w:tcPr/>
          <w:p>
            <w:pPr>
              <w:pStyle w:val="Compact"/>
              <w:jc w:val="left"/>
            </w:pPr>
            <w:r>
              <w:t xml:space="preserve">$675K</w:t>
            </w:r>
          </w:p>
        </w:tc>
        <w:tc>
          <w:tcPr/>
          <w:p>
            <w:pPr>
              <w:pStyle w:val="Compact"/>
              <w:jc w:val="left"/>
            </w:pPr>
            <w:r>
              <w:t xml:space="preserve">+41%</w:t>
            </w:r>
          </w:p>
        </w:tc>
      </w:tr>
      <w:tr>
        <w:tc>
          <w:tcPr/>
          <w:p>
            <w:pPr>
              <w:pStyle w:val="Compact"/>
              <w:jc w:val="left"/>
            </w:pPr>
            <w:r>
              <w:t xml:space="preserve">TOTAL</w:t>
            </w:r>
          </w:p>
        </w:tc>
        <w:tc>
          <w:tcPr/>
          <w:p>
            <w:pPr>
              <w:pStyle w:val="Compact"/>
              <w:jc w:val="left"/>
            </w:pPr>
            <w:r>
              <w:t xml:space="preserve">24</w:t>
            </w:r>
          </w:p>
        </w:tc>
        <w:tc>
          <w:tcPr/>
          <w:p>
            <w:pPr>
              <w:pStyle w:val="Compact"/>
              <w:jc w:val="left"/>
            </w:pPr>
            <w:r>
              <w:t xml:space="preserve">$3.045M</w:t>
            </w:r>
          </w:p>
        </w:tc>
        <w:tc>
          <w:tcPr/>
          <w:p>
            <w:pPr>
              <w:pStyle w:val="Compact"/>
              <w:jc w:val="left"/>
            </w:pPr>
            <w:r>
              <w:t xml:space="preserve">+24%</w:t>
            </w:r>
          </w:p>
        </w:tc>
      </w:tr>
    </w:tbl>
    <w:p>
      <w:pPr>
        <w:pStyle w:val="BodyText"/>
      </w:pPr>
      <w:r>
        <w:t xml:space="preserve">The data confirms that our Architect team has successfully adapted to Tashkent's evolving market, particularly in high-value public infrastructure projects. Notably, the 41% growth in government-commissioned architectural work reflects Uzbekistan's national priority for modernizing civic spaces—a trend we've strategically positioned ourselves to lead. The success of our flagship project, the "Tashkent Cultural Exchange Hub" (currently under construction), has become a powerful case study demonstrating our ability to blend traditional Uzbek motifs with contemporary architectural solutions.</w:t>
      </w:r>
    </w:p>
    <w:bookmarkEnd w:id="22"/>
    <w:bookmarkStart w:id="23" w:name="Xa47693d4af94ee2ad7f9d601202c85900db9eb0"/>
    <w:p>
      <w:pPr>
        <w:pStyle w:val="Heading2"/>
      </w:pPr>
      <w:r>
        <w:t xml:space="preserve">Key Success Factors for Our Architect Firm</w:t>
      </w:r>
    </w:p>
    <w:p>
      <w:pPr>
        <w:numPr>
          <w:ilvl w:val="0"/>
          <w:numId w:val="1001"/>
        </w:numPr>
        <w:pStyle w:val="Compact"/>
      </w:pPr>
      <w:r>
        <w:rPr>
          <w:bCs/>
          <w:b/>
        </w:rPr>
        <w:t xml:space="preserve">Cultural Integration:</w:t>
      </w:r>
      <w:r>
        <w:t xml:space="preserve"> </w:t>
      </w:r>
      <w:r>
        <w:t xml:space="preserve">Our Architect team's deep understanding of Uzbekistan's architectural heritage (e.g., incorporating traditional *girih* patterns in modern facades) has become a competitive differentiator in Tashkent. Clients specifically value our ability to create designs that resonate with local identity while meeting international standards.</w:t>
      </w:r>
    </w:p>
    <w:p>
      <w:pPr>
        <w:numPr>
          <w:ilvl w:val="0"/>
          <w:numId w:val="1001"/>
        </w:numPr>
        <w:pStyle w:val="Compact"/>
      </w:pPr>
      <w:r>
        <w:rPr>
          <w:bCs/>
          <w:b/>
        </w:rPr>
        <w:t xml:space="preserve">Government Partnership:</w:t>
      </w:r>
      <w:r>
        <w:t xml:space="preserve"> </w:t>
      </w:r>
      <w:r>
        <w:t xml:space="preserve">We've secured strategic partnerships with Uzbekistan's Ministry of Construction and the Tashkent City Administration, directly facilitating access to major public projects. This relationship was instrumental in winning the $675K Civic Plaza commission.</w:t>
      </w:r>
    </w:p>
    <w:p>
      <w:pPr>
        <w:numPr>
          <w:ilvl w:val="0"/>
          <w:numId w:val="1001"/>
        </w:numPr>
        <w:pStyle w:val="Compact"/>
      </w:pPr>
      <w:r>
        <w:rPr>
          <w:bCs/>
          <w:b/>
        </w:rPr>
        <w:t xml:space="preserve">Sustainability Focus:</w:t>
      </w:r>
      <w:r>
        <w:t xml:space="preserve"> </w:t>
      </w:r>
      <w:r>
        <w:t xml:space="preserve">Our UzGreenMark-certified design methodology attracted premium clients seeking eco-conscious architecture. The "Amir Temur Smart Residence" project (32 units) achieved 98% pre-lease occupancy due to our sustainable architectural features.</w:t>
      </w:r>
    </w:p>
    <w:bookmarkEnd w:id="23"/>
    <w:bookmarkStart w:id="24" w:name="X251a4de6c7d416e65fa3f9837acee78a490a465"/>
    <w:p>
      <w:pPr>
        <w:pStyle w:val="Heading2"/>
      </w:pPr>
      <w:r>
        <w:t xml:space="preserve">Challenges in the Uzbekistan Tashkent Market</w:t>
      </w:r>
    </w:p>
    <w:p>
      <w:pPr>
        <w:pStyle w:val="FirstParagraph"/>
      </w:pPr>
      <w:r>
        <w:t xml:space="preserve">Despite strong performance, we face significant challenges unique to Uzbekistan's architectural market. Bureaucratic delays in construction permits (averaging 47 days vs. regional average of 28 days) remain a critical bottleneck for our Architect projects. Additionally, the scarcity of locally trained architects with international certifications creates talent acquisition hurdles—we currently sponsor three junior architects through the Tashkent Institute of Architecture's new partnership program.</w:t>
      </w:r>
    </w:p>
    <w:p>
      <w:pPr>
        <w:pStyle w:val="BodyText"/>
      </w:pPr>
      <w:r>
        <w:t xml:space="preserve">Another challenge is managing client expectations regarding design aesthetics. While Tashkent's elite market increasingly values contemporary architecture, some traditional developers still prefer conservative designs. Our Architect team has addressed this through educational workshops on modern architectural benefits, successfully converting 68% of hesitant clients in Q3.</w:t>
      </w:r>
    </w:p>
    <w:bookmarkEnd w:id="24"/>
    <w:bookmarkStart w:id="25" w:name="Xc5c7eb51a2698651074e36263db0441d6e3c170"/>
    <w:p>
      <w:pPr>
        <w:pStyle w:val="Heading2"/>
      </w:pPr>
      <w:r>
        <w:t xml:space="preserve">Strategic Recommendations for Future Growth</w:t>
      </w:r>
    </w:p>
    <w:p>
      <w:pPr>
        <w:pStyle w:val="FirstParagraph"/>
      </w:pPr>
      <w:r>
        <w:t xml:space="preserve">Based on this Sales Report, we recommend three priority initiatives to strengthen our position as Tashkent's premier Architect firm:</w:t>
      </w:r>
    </w:p>
    <w:p>
      <w:pPr>
        <w:numPr>
          <w:ilvl w:val="0"/>
          <w:numId w:val="1002"/>
        </w:numPr>
        <w:pStyle w:val="Compact"/>
      </w:pPr>
      <w:r>
        <w:rPr>
          <w:bCs/>
          <w:b/>
        </w:rPr>
        <w:t xml:space="preserve">Establish Local Design Academy:</w:t>
      </w:r>
      <w:r>
        <w:t xml:space="preserve"> </w:t>
      </w:r>
      <w:r>
        <w:t xml:space="preserve">Partner with Tashkent State University of Architecture to create a specialized training program for Uzbek architects, focusing on sustainable design and digital tools. This addresses the talent gap while building long-term community relationships.</w:t>
      </w:r>
    </w:p>
    <w:p>
      <w:pPr>
        <w:numPr>
          <w:ilvl w:val="0"/>
          <w:numId w:val="1002"/>
        </w:numPr>
        <w:pStyle w:val="Compact"/>
      </w:pPr>
      <w:r>
        <w:rPr>
          <w:bCs/>
          <w:b/>
        </w:rPr>
        <w:t xml:space="preserve">Expand into Green Infrastructure:</w:t>
      </w:r>
      <w:r>
        <w:t xml:space="preserve"> </w:t>
      </w:r>
      <w:r>
        <w:t xml:space="preserve">Leverage Uzbekistan's National Renewable Energy Strategy by developing solar-integrated architectural solutions for residential complexes. Our pilot project with Tashkent Power Grid could generate $1.2M in new sales by Q2 2024.</w:t>
      </w:r>
    </w:p>
    <w:p>
      <w:pPr>
        <w:numPr>
          <w:ilvl w:val="0"/>
          <w:numId w:val="1002"/>
        </w:numPr>
        <w:pStyle w:val="Compact"/>
      </w:pPr>
      <w:r>
        <w:rPr>
          <w:bCs/>
          <w:b/>
        </w:rPr>
        <w:t xml:space="preserve">Create Tashkent Design Studio:</w:t>
      </w:r>
      <w:r>
        <w:t xml:space="preserve"> </w:t>
      </w:r>
      <w:r>
        <w:t xml:space="preserve">Open a permanent office in the city's new business district (Yasna Street) to provide on-site Architect support for clients, reducing project turnaround time by 35% and enhancing our local market presence.</w:t>
      </w:r>
    </w:p>
    <w:bookmarkEnd w:id="25"/>
    <w:bookmarkStart w:id="26" w:name="conclusion"/>
    <w:p>
      <w:pPr>
        <w:pStyle w:val="Heading2"/>
      </w:pPr>
      <w:r>
        <w:t xml:space="preserve">Conclusion</w:t>
      </w:r>
    </w:p>
    <w:p>
      <w:pPr>
        <w:pStyle w:val="FirstParagraph"/>
      </w:pPr>
      <w:r>
        <w:t xml:space="preserve">This Sales Report affirms that Tashkent, Uzbekistan represents one of the most promising markets for our Architect firm in Central Asia. The city's ambitious urban renewal plans, coupled with our culturally attuned design approach and growing government partnerships, have positioned us for sustained growth. Our strategic focus on sustainability—aligned with Uzbekistan's national development goals—has become a key sales differentiator that resonates deeply with Tashkent's evolving architectural landscape.</w:t>
      </w:r>
    </w:p>
    <w:p>
      <w:pPr>
        <w:pStyle w:val="BodyText"/>
      </w:pPr>
      <w:r>
        <w:t xml:space="preserve">As we enter 2024, our Architect team must double down on localized expertise while maintaining international design excellence. The continued success of this Sales Report hinges on our ability to translate Uzbekistan's cultural heritage into forward-looking architectural solutions that serve Tashkent's aspirations as a modern Central Asian capital. With the government's commitment to transforming Tashkent into a "smart city," our firm is uniquely prepared to deliver the innovative Architect services that will shape Uzbekistan's skyline for generations.</w:t>
      </w:r>
    </w:p>
    <w:p>
      <w:pPr>
        <w:pStyle w:val="BodyText"/>
      </w:pPr>
      <w:r>
        <w:t xml:space="preserve">Prepared by:</w:t>
      </w:r>
      <w:r>
        <w:br/>
      </w:r>
      <w:r>
        <w:t xml:space="preserve">Global Architecture Group - Central Asia Division</w:t>
      </w:r>
      <w:r>
        <w:br/>
      </w:r>
      <w:r>
        <w:t xml:space="preserve">Tashkent, Uzbekistan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 Services in Tashkent, Uzbekistan</dc:title>
  <dc:creator/>
  <cp:keywords/>
  <dcterms:created xsi:type="dcterms:W3CDTF">2026-07-21T02:58:55Z</dcterms:created>
  <dcterms:modified xsi:type="dcterms:W3CDTF">2026-07-21T02:58:55Z</dcterms:modified>
</cp:coreProperties>
</file>

<file path=docProps/custom.xml><?xml version="1.0" encoding="utf-8"?>
<Properties xmlns="http://schemas.openxmlformats.org/officeDocument/2006/custom-properties" xmlns:vt="http://schemas.openxmlformats.org/officeDocument/2006/docPropsVTypes"/>
</file>